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bookmarkStart w:id="0" w:name="_GoBack"/>
      <w:bookmarkEnd w:id="0"/>
      <w:r w:rsidRPr="004C093A">
        <w:rPr>
          <w:sz w:val="24"/>
          <w:szCs w:val="24"/>
        </w:rPr>
        <w:t>Arkivsak-dok.</w:t>
      </w:r>
      <w:r w:rsidRPr="004C093A">
        <w:rPr>
          <w:sz w:val="24"/>
          <w:szCs w:val="24"/>
        </w:rPr>
        <w:tab/>
      </w:r>
      <w:r>
        <w:rPr>
          <w:sz w:val="24"/>
          <w:szCs w:val="24"/>
        </w:rPr>
        <w:tab/>
      </w:r>
      <w:r w:rsidR="004D33E0">
        <w:rPr>
          <w:sz w:val="24"/>
          <w:szCs w:val="24"/>
        </w:rPr>
        <w:t>170 - 15</w:t>
      </w:r>
      <w:r w:rsidR="00720FD8">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FF3E3A">
      <w:pPr>
        <w:rPr>
          <w:sz w:val="24"/>
          <w:szCs w:val="24"/>
        </w:rPr>
      </w:pPr>
      <w:r>
        <w:rPr>
          <w:sz w:val="24"/>
          <w:szCs w:val="24"/>
        </w:rPr>
        <w:t xml:space="preserve">Saksbehandler: </w:t>
      </w:r>
      <w:r w:rsidR="004D34D5">
        <w:rPr>
          <w:sz w:val="24"/>
          <w:szCs w:val="24"/>
        </w:rPr>
        <w:tab/>
      </w:r>
      <w:r>
        <w:rPr>
          <w:sz w:val="24"/>
          <w:szCs w:val="24"/>
        </w:rPr>
        <w:t>Jarle Angelsen</w:t>
      </w:r>
    </w:p>
    <w:p w:rsidR="009873D1" w:rsidRDefault="009873D1">
      <w:pPr>
        <w:rPr>
          <w:sz w:val="24"/>
          <w:szCs w:val="24"/>
        </w:rPr>
      </w:pPr>
    </w:p>
    <w:p w:rsidR="004C093A" w:rsidRPr="0068205E" w:rsidRDefault="004C093A">
      <w:pPr>
        <w:rPr>
          <w:sz w:val="24"/>
          <w:szCs w:val="24"/>
        </w:rPr>
      </w:pPr>
      <w:r>
        <w:rPr>
          <w:sz w:val="24"/>
          <w:szCs w:val="24"/>
        </w:rPr>
        <w:t>Behandles av:</w:t>
      </w:r>
      <w:r>
        <w:rPr>
          <w:sz w:val="24"/>
          <w:szCs w:val="24"/>
        </w:rPr>
        <w:tab/>
      </w:r>
      <w:r w:rsidR="0068205E">
        <w:rPr>
          <w:sz w:val="24"/>
          <w:szCs w:val="24"/>
        </w:rPr>
        <w:tab/>
      </w:r>
      <w:r>
        <w:rPr>
          <w:sz w:val="24"/>
          <w:szCs w:val="24"/>
        </w:rPr>
        <w:tab/>
      </w:r>
      <w:r w:rsidR="00B30CC1">
        <w:rPr>
          <w:sz w:val="24"/>
          <w:szCs w:val="24"/>
        </w:rPr>
        <w:tab/>
      </w:r>
      <w:r w:rsidR="0068205E">
        <w:rPr>
          <w:sz w:val="24"/>
          <w:szCs w:val="24"/>
        </w:rPr>
        <w:tab/>
      </w:r>
      <w:r w:rsidR="0068205E">
        <w:rPr>
          <w:sz w:val="24"/>
          <w:szCs w:val="24"/>
        </w:rPr>
        <w:tab/>
      </w:r>
      <w:r>
        <w:rPr>
          <w:sz w:val="24"/>
          <w:szCs w:val="24"/>
        </w:rPr>
        <w:t>Møtedato:</w:t>
      </w:r>
      <w:r w:rsidR="009435FB">
        <w:rPr>
          <w:sz w:val="24"/>
          <w:szCs w:val="24"/>
        </w:rPr>
        <w:tab/>
      </w:r>
    </w:p>
    <w:p w:rsidR="008209BE" w:rsidRDefault="0068205E">
      <w:pPr>
        <w:rPr>
          <w:b/>
          <w:sz w:val="28"/>
          <w:szCs w:val="28"/>
          <w:u w:val="single"/>
        </w:rPr>
      </w:pPr>
      <w:r>
        <w:rPr>
          <w:sz w:val="24"/>
          <w:szCs w:val="24"/>
        </w:rPr>
        <w:t>Sandnes Eiendomsselskap KF</w:t>
      </w:r>
      <w:r>
        <w:rPr>
          <w:sz w:val="24"/>
          <w:szCs w:val="24"/>
        </w:rPr>
        <w:tab/>
      </w:r>
      <w:r>
        <w:rPr>
          <w:sz w:val="24"/>
          <w:szCs w:val="24"/>
        </w:rPr>
        <w:tab/>
      </w:r>
      <w:r>
        <w:rPr>
          <w:sz w:val="24"/>
          <w:szCs w:val="24"/>
        </w:rPr>
        <w:tab/>
      </w:r>
      <w:r>
        <w:rPr>
          <w:sz w:val="24"/>
          <w:szCs w:val="24"/>
        </w:rPr>
        <w:tab/>
      </w:r>
      <w:r w:rsidR="00FD01EA">
        <w:rPr>
          <w:sz w:val="24"/>
          <w:szCs w:val="24"/>
        </w:rPr>
        <w:t>08</w:t>
      </w:r>
      <w:r>
        <w:rPr>
          <w:sz w:val="24"/>
          <w:szCs w:val="24"/>
        </w:rPr>
        <w:t>.12.2015</w:t>
      </w:r>
    </w:p>
    <w:p w:rsidR="0068205E" w:rsidRDefault="0068205E">
      <w:pPr>
        <w:rPr>
          <w:b/>
          <w:sz w:val="28"/>
          <w:szCs w:val="28"/>
          <w:u w:val="single"/>
        </w:rPr>
      </w:pPr>
    </w:p>
    <w:p w:rsidR="00E31E93" w:rsidRDefault="00B95066">
      <w:pPr>
        <w:rPr>
          <w:b/>
          <w:sz w:val="28"/>
          <w:szCs w:val="28"/>
          <w:u w:val="single"/>
        </w:rPr>
      </w:pPr>
      <w:r>
        <w:rPr>
          <w:b/>
          <w:sz w:val="28"/>
          <w:szCs w:val="28"/>
          <w:u w:val="single"/>
        </w:rPr>
        <w:t xml:space="preserve">Skisseprosjekt – Nytt rådhus. Jfr sak </w:t>
      </w:r>
      <w:r w:rsidR="00840D34">
        <w:rPr>
          <w:b/>
          <w:sz w:val="28"/>
          <w:szCs w:val="28"/>
          <w:u w:val="single"/>
        </w:rPr>
        <w:t>158</w:t>
      </w:r>
      <w:r w:rsidR="000B3549">
        <w:rPr>
          <w:b/>
          <w:sz w:val="28"/>
          <w:szCs w:val="28"/>
          <w:u w:val="single"/>
        </w:rPr>
        <w:t xml:space="preserve"> - </w:t>
      </w:r>
      <w:r w:rsidR="00840D34" w:rsidRPr="00840D34">
        <w:rPr>
          <w:b/>
          <w:sz w:val="28"/>
          <w:szCs w:val="28"/>
          <w:u w:val="single"/>
        </w:rPr>
        <w:t>15</w:t>
      </w:r>
      <w:r>
        <w:rPr>
          <w:b/>
          <w:sz w:val="28"/>
          <w:szCs w:val="28"/>
          <w:u w:val="single"/>
        </w:rPr>
        <w:t xml:space="preserve">. </w:t>
      </w:r>
    </w:p>
    <w:p w:rsidR="00E31E93" w:rsidRDefault="00E31E93">
      <w:pPr>
        <w:rPr>
          <w:b/>
          <w:sz w:val="28"/>
          <w:szCs w:val="28"/>
          <w:u w:val="single"/>
        </w:rPr>
      </w:pPr>
    </w:p>
    <w:p w:rsidR="00B107B7" w:rsidRDefault="00840D34">
      <w:pPr>
        <w:rPr>
          <w:sz w:val="28"/>
          <w:szCs w:val="28"/>
        </w:rPr>
      </w:pPr>
      <w:r>
        <w:rPr>
          <w:b/>
          <w:sz w:val="28"/>
          <w:szCs w:val="28"/>
          <w:u w:val="single"/>
        </w:rPr>
        <w:t>Bakgrunn</w:t>
      </w:r>
      <w:r w:rsidR="00265A6A">
        <w:rPr>
          <w:b/>
          <w:sz w:val="28"/>
          <w:szCs w:val="28"/>
          <w:u w:val="single"/>
        </w:rPr>
        <w:t>:</w:t>
      </w:r>
    </w:p>
    <w:p w:rsidR="00E64D9C" w:rsidRDefault="00E64D9C" w:rsidP="00B9443F">
      <w:pPr>
        <w:spacing w:before="240"/>
        <w:rPr>
          <w:sz w:val="24"/>
          <w:szCs w:val="24"/>
        </w:rPr>
      </w:pPr>
      <w:r>
        <w:rPr>
          <w:sz w:val="24"/>
          <w:szCs w:val="24"/>
        </w:rPr>
        <w:t>Det vises til sak 158 – 15, «Skisseprosjekt – nytt rådhus» hvor det ble vedtatt å utsette saken til neste styremøte samt at det skulle vurderes tre forhold innen saken legges frem på nytt; hhv. hvorvidt SEKF kan beslutte entrepriseform, at nytt rådhus også åpnes for publikumsrelaterte aktiviteter og at lavbyder til entreprisen skal gis opsjon på drift og vedlikehold av tekniske fag. Det vises her til protokoll for styremøte den 12.11.2015 sak 158 - 15</w:t>
      </w:r>
    </w:p>
    <w:p w:rsidR="00E64D9C" w:rsidRDefault="00E64D9C" w:rsidP="00E64D9C">
      <w:pPr>
        <w:overflowPunct w:val="0"/>
        <w:autoSpaceDE w:val="0"/>
        <w:autoSpaceDN w:val="0"/>
        <w:adjustRightInd w:val="0"/>
        <w:textAlignment w:val="baseline"/>
      </w:pPr>
    </w:p>
    <w:p w:rsidR="00720FD8" w:rsidRDefault="00265A6A" w:rsidP="00B30221">
      <w:pPr>
        <w:rPr>
          <w:b/>
          <w:sz w:val="28"/>
          <w:szCs w:val="28"/>
          <w:u w:val="single"/>
        </w:rPr>
      </w:pPr>
      <w:r>
        <w:rPr>
          <w:b/>
          <w:sz w:val="28"/>
          <w:szCs w:val="28"/>
          <w:u w:val="single"/>
        </w:rPr>
        <w:t>Saksopplysninger:</w:t>
      </w:r>
    </w:p>
    <w:p w:rsidR="00146DF2" w:rsidRPr="006123FB" w:rsidRDefault="00E64D9C" w:rsidP="00146DF2">
      <w:pPr>
        <w:spacing w:after="0"/>
        <w:rPr>
          <w:sz w:val="24"/>
          <w:szCs w:val="24"/>
          <w:u w:val="single"/>
        </w:rPr>
      </w:pPr>
      <w:r>
        <w:rPr>
          <w:sz w:val="24"/>
          <w:szCs w:val="24"/>
          <w:u w:val="single"/>
        </w:rPr>
        <w:t>E</w:t>
      </w:r>
      <w:r w:rsidR="00840D34">
        <w:rPr>
          <w:sz w:val="24"/>
          <w:szCs w:val="24"/>
          <w:u w:val="single"/>
        </w:rPr>
        <w:t>ntrepriseform</w:t>
      </w:r>
    </w:p>
    <w:p w:rsidR="00E64D9C" w:rsidRDefault="00E64D9C" w:rsidP="003559A6">
      <w:pPr>
        <w:spacing w:after="0"/>
        <w:rPr>
          <w:sz w:val="24"/>
          <w:szCs w:val="24"/>
        </w:rPr>
      </w:pPr>
    </w:p>
    <w:p w:rsidR="00287260" w:rsidRDefault="00287260" w:rsidP="003559A6">
      <w:pPr>
        <w:spacing w:after="0"/>
        <w:rPr>
          <w:sz w:val="24"/>
          <w:szCs w:val="24"/>
        </w:rPr>
      </w:pPr>
      <w:r>
        <w:rPr>
          <w:sz w:val="24"/>
          <w:szCs w:val="24"/>
        </w:rPr>
        <w:t>Følgende vedtak er gjort som har relasjon til valg av entrepriseform:</w:t>
      </w:r>
      <w:r>
        <w:rPr>
          <w:sz w:val="24"/>
          <w:szCs w:val="24"/>
        </w:rPr>
        <w:br/>
      </w:r>
    </w:p>
    <w:p w:rsidR="004A5A2A" w:rsidRPr="00FB3965" w:rsidRDefault="004A5A2A" w:rsidP="00FB3965">
      <w:pPr>
        <w:pStyle w:val="Listeavsnitt"/>
        <w:numPr>
          <w:ilvl w:val="0"/>
          <w:numId w:val="21"/>
        </w:numPr>
        <w:spacing w:after="0"/>
        <w:rPr>
          <w:sz w:val="24"/>
          <w:szCs w:val="24"/>
        </w:rPr>
      </w:pPr>
      <w:r w:rsidRPr="00FB3965">
        <w:rPr>
          <w:sz w:val="24"/>
          <w:szCs w:val="24"/>
        </w:rPr>
        <w:t>I desember 2012 vedtok bystyret (sak 188 / 12) at i forbindelse med nytt administ</w:t>
      </w:r>
      <w:r w:rsidR="00CD669B" w:rsidRPr="00FB3965">
        <w:rPr>
          <w:sz w:val="24"/>
          <w:szCs w:val="24"/>
        </w:rPr>
        <w:t>r</w:t>
      </w:r>
      <w:r w:rsidRPr="00FB3965">
        <w:rPr>
          <w:sz w:val="24"/>
          <w:szCs w:val="24"/>
        </w:rPr>
        <w:t xml:space="preserve">asjonsbygg skulle det vurderes anbudsform inkl drøfting av totalentreprise. </w:t>
      </w:r>
    </w:p>
    <w:p w:rsidR="004A5A2A" w:rsidRPr="00FB3965" w:rsidRDefault="004A5A2A" w:rsidP="00FB3965">
      <w:pPr>
        <w:pStyle w:val="Listeavsnitt"/>
        <w:numPr>
          <w:ilvl w:val="0"/>
          <w:numId w:val="21"/>
        </w:numPr>
        <w:spacing w:after="0"/>
        <w:rPr>
          <w:sz w:val="24"/>
          <w:szCs w:val="24"/>
        </w:rPr>
      </w:pPr>
      <w:r w:rsidRPr="00FB3965">
        <w:rPr>
          <w:sz w:val="24"/>
          <w:szCs w:val="24"/>
        </w:rPr>
        <w:t>I mars 2014 vedtok styret i SEKF i sak om nytt rådhus at dette skulle anskaffes «</w:t>
      </w:r>
      <w:r w:rsidRPr="00FB3965">
        <w:rPr>
          <w:i/>
          <w:sz w:val="24"/>
          <w:szCs w:val="24"/>
        </w:rPr>
        <w:t>i en totalentreprisekonkurranse der både pris og løsningsforslag vektlegges»</w:t>
      </w:r>
      <w:r w:rsidRPr="00FB3965">
        <w:rPr>
          <w:sz w:val="24"/>
          <w:szCs w:val="24"/>
        </w:rPr>
        <w:t xml:space="preserve"> (sak 22-14). </w:t>
      </w:r>
    </w:p>
    <w:p w:rsidR="004A5A2A" w:rsidRPr="00FB3965" w:rsidRDefault="004A5A2A" w:rsidP="00FB3965">
      <w:pPr>
        <w:pStyle w:val="Listeavsnitt"/>
        <w:numPr>
          <w:ilvl w:val="0"/>
          <w:numId w:val="21"/>
        </w:numPr>
        <w:spacing w:after="0"/>
        <w:rPr>
          <w:sz w:val="24"/>
          <w:szCs w:val="24"/>
        </w:rPr>
      </w:pPr>
      <w:r w:rsidRPr="00FB3965">
        <w:rPr>
          <w:sz w:val="24"/>
          <w:szCs w:val="24"/>
        </w:rPr>
        <w:t>I april 2014 vedtok formannskapet i sak 24/14 det samme som styret i selskapet hadde gjort</w:t>
      </w:r>
      <w:r w:rsidR="001F1902">
        <w:rPr>
          <w:sz w:val="24"/>
          <w:szCs w:val="24"/>
        </w:rPr>
        <w:t>; -</w:t>
      </w:r>
      <w:r w:rsidRPr="00FB3965">
        <w:rPr>
          <w:sz w:val="24"/>
          <w:szCs w:val="24"/>
        </w:rPr>
        <w:t xml:space="preserve">entrepriseform er totalentreprise. </w:t>
      </w:r>
    </w:p>
    <w:p w:rsidR="004A5A2A" w:rsidRPr="00FB3965" w:rsidRDefault="00CD669B" w:rsidP="00FB3965">
      <w:pPr>
        <w:pStyle w:val="Listeavsnitt"/>
        <w:numPr>
          <w:ilvl w:val="0"/>
          <w:numId w:val="21"/>
        </w:numPr>
        <w:spacing w:after="0"/>
        <w:rPr>
          <w:sz w:val="24"/>
          <w:szCs w:val="24"/>
        </w:rPr>
      </w:pPr>
      <w:r w:rsidRPr="00FB3965">
        <w:rPr>
          <w:sz w:val="24"/>
          <w:szCs w:val="24"/>
        </w:rPr>
        <w:t xml:space="preserve">Bystyret hadde senere samme måned oppe samme sak, sak 50/14 </w:t>
      </w:r>
      <w:r w:rsidRPr="00FB3965">
        <w:rPr>
          <w:i/>
          <w:sz w:val="24"/>
          <w:szCs w:val="24"/>
        </w:rPr>
        <w:t>«Nytt rådhus i kvartalet A4 Havneparken Sandnes – funksjonsprogram og rammer for arkitektkonkurranse»</w:t>
      </w:r>
      <w:r w:rsidRPr="00FB3965">
        <w:rPr>
          <w:sz w:val="24"/>
          <w:szCs w:val="24"/>
        </w:rPr>
        <w:t xml:space="preserve"> hvor formannskapets vedtak ble endret til å gå fra ren </w:t>
      </w:r>
      <w:r w:rsidRPr="00FB3965">
        <w:rPr>
          <w:sz w:val="24"/>
          <w:szCs w:val="24"/>
        </w:rPr>
        <w:lastRenderedPageBreak/>
        <w:t xml:space="preserve">totalentreprise (dvs at entreprenørene selv tegner rådhuset utfra de rammer som oppdragiver har satt i konkurransen) til at det skulle </w:t>
      </w:r>
      <w:r w:rsidRPr="00FB3965">
        <w:rPr>
          <w:i/>
          <w:sz w:val="24"/>
          <w:szCs w:val="24"/>
        </w:rPr>
        <w:t>«gjennomføres en arkitektkonkurranse i forkant av utarbeidelsen av anbudspapirene til totalentreprisen»</w:t>
      </w:r>
      <w:r w:rsidRPr="00FB3965">
        <w:rPr>
          <w:sz w:val="24"/>
          <w:szCs w:val="24"/>
        </w:rPr>
        <w:t xml:space="preserve"> og at </w:t>
      </w:r>
      <w:r w:rsidRPr="00FB3965">
        <w:rPr>
          <w:i/>
          <w:sz w:val="24"/>
          <w:szCs w:val="24"/>
        </w:rPr>
        <w:t xml:space="preserve">«Bystyret ber styret i Sandnes </w:t>
      </w:r>
      <w:r w:rsidR="00DA4A03" w:rsidRPr="00FB3965">
        <w:rPr>
          <w:i/>
          <w:sz w:val="24"/>
          <w:szCs w:val="24"/>
        </w:rPr>
        <w:t>eiendomsselskap</w:t>
      </w:r>
      <w:r w:rsidRPr="00FB3965">
        <w:rPr>
          <w:i/>
          <w:sz w:val="24"/>
          <w:szCs w:val="24"/>
        </w:rPr>
        <w:t xml:space="preserve"> KF om å utarbeide og avklare den endelige anskaffelsesstr</w:t>
      </w:r>
      <w:r w:rsidR="00DA4A03" w:rsidRPr="00FB3965">
        <w:rPr>
          <w:i/>
          <w:sz w:val="24"/>
          <w:szCs w:val="24"/>
        </w:rPr>
        <w:t>a</w:t>
      </w:r>
      <w:r w:rsidRPr="00FB3965">
        <w:rPr>
          <w:i/>
          <w:sz w:val="24"/>
          <w:szCs w:val="24"/>
        </w:rPr>
        <w:t>tegien»</w:t>
      </w:r>
      <w:r w:rsidRPr="00FB3965">
        <w:rPr>
          <w:sz w:val="24"/>
          <w:szCs w:val="24"/>
        </w:rPr>
        <w:t xml:space="preserve">  </w:t>
      </w:r>
    </w:p>
    <w:p w:rsidR="00CD669B" w:rsidRPr="00FB3965" w:rsidRDefault="00DA4A03" w:rsidP="00FB3965">
      <w:pPr>
        <w:pStyle w:val="Listeavsnitt"/>
        <w:numPr>
          <w:ilvl w:val="0"/>
          <w:numId w:val="21"/>
        </w:numPr>
        <w:spacing w:after="0"/>
        <w:rPr>
          <w:sz w:val="24"/>
          <w:szCs w:val="24"/>
        </w:rPr>
      </w:pPr>
      <w:r w:rsidRPr="00FB3965">
        <w:rPr>
          <w:sz w:val="24"/>
          <w:szCs w:val="24"/>
        </w:rPr>
        <w:t>I styresak 49-14 i SEKF ble bl.a. spørsmålet om arkitektkonkurranse tatt opp og der en vurderte åpen eller luk</w:t>
      </w:r>
      <w:r w:rsidR="001F1902">
        <w:rPr>
          <w:sz w:val="24"/>
          <w:szCs w:val="24"/>
        </w:rPr>
        <w:t>k</w:t>
      </w:r>
      <w:r w:rsidRPr="00FB3965">
        <w:rPr>
          <w:sz w:val="24"/>
          <w:szCs w:val="24"/>
        </w:rPr>
        <w:t xml:space="preserve">et konkurranse. Det ble enstemmig vedtatt at arkitektkonkurransen skulle gjennomføres som åpen anbudskonkurranse. </w:t>
      </w:r>
    </w:p>
    <w:p w:rsidR="006F50A0" w:rsidRPr="00FB3965" w:rsidRDefault="00DA4A03" w:rsidP="00FB3965">
      <w:pPr>
        <w:pStyle w:val="Listeavsnitt"/>
        <w:numPr>
          <w:ilvl w:val="0"/>
          <w:numId w:val="21"/>
        </w:numPr>
        <w:spacing w:after="0"/>
        <w:rPr>
          <w:sz w:val="24"/>
          <w:szCs w:val="24"/>
        </w:rPr>
      </w:pPr>
      <w:r w:rsidRPr="00FB3965">
        <w:rPr>
          <w:sz w:val="24"/>
          <w:szCs w:val="24"/>
        </w:rPr>
        <w:t xml:space="preserve">Etter gjennomføring av arkitektkonkurransen ble det i styresak 53-15 </w:t>
      </w:r>
      <w:r w:rsidR="006F50A0" w:rsidRPr="00FB3965">
        <w:rPr>
          <w:sz w:val="24"/>
          <w:szCs w:val="24"/>
        </w:rPr>
        <w:t xml:space="preserve">i april 2015 </w:t>
      </w:r>
      <w:r w:rsidRPr="00FB3965">
        <w:rPr>
          <w:sz w:val="24"/>
          <w:szCs w:val="24"/>
        </w:rPr>
        <w:t xml:space="preserve">gitt fullmakt til inngåelse av kontrakt med vinneren av arkitektkonkurransen, samt </w:t>
      </w:r>
      <w:r w:rsidR="001F1902">
        <w:rPr>
          <w:sz w:val="24"/>
          <w:szCs w:val="24"/>
        </w:rPr>
        <w:t xml:space="preserve">at </w:t>
      </w:r>
      <w:r w:rsidRPr="00FB3965">
        <w:rPr>
          <w:sz w:val="24"/>
          <w:szCs w:val="24"/>
        </w:rPr>
        <w:t xml:space="preserve">det til daglig leder ble gitt fullmakt til å vurdere byggherrestyrt entreprise. I saken var det vedlagt et notat fra </w:t>
      </w:r>
      <w:r w:rsidR="006F50A0" w:rsidRPr="00FB3965">
        <w:rPr>
          <w:sz w:val="24"/>
          <w:szCs w:val="24"/>
        </w:rPr>
        <w:t>Longva Arkitekter AS om strategi for gjennomføring av byggeprosjekter.</w:t>
      </w:r>
    </w:p>
    <w:p w:rsidR="0036402F" w:rsidRPr="00FB3965" w:rsidRDefault="006F50A0" w:rsidP="00FB3965">
      <w:pPr>
        <w:pStyle w:val="Listeavsnitt"/>
        <w:numPr>
          <w:ilvl w:val="0"/>
          <w:numId w:val="21"/>
        </w:numPr>
        <w:spacing w:after="0"/>
        <w:rPr>
          <w:sz w:val="24"/>
          <w:szCs w:val="24"/>
        </w:rPr>
      </w:pPr>
      <w:r w:rsidRPr="00FB3965">
        <w:rPr>
          <w:sz w:val="24"/>
          <w:szCs w:val="24"/>
        </w:rPr>
        <w:t xml:space="preserve">Saken var deretter til behandling i bystyret samme måned (sak 31/15) der det i saksutredningen til rådmannen bl.a. </w:t>
      </w:r>
      <w:r w:rsidR="0036402F" w:rsidRPr="00FB3965">
        <w:rPr>
          <w:sz w:val="24"/>
          <w:szCs w:val="24"/>
        </w:rPr>
        <w:t xml:space="preserve">vises til notatet fra Longva og at det i </w:t>
      </w:r>
      <w:r w:rsidR="00FB3965">
        <w:rPr>
          <w:sz w:val="24"/>
          <w:szCs w:val="24"/>
        </w:rPr>
        <w:t>saksutredningen sies følgende i pkt 5, «Anbefallinger»:</w:t>
      </w:r>
    </w:p>
    <w:p w:rsidR="0036402F" w:rsidRPr="00FB3965" w:rsidRDefault="0036402F" w:rsidP="00FB3965">
      <w:pPr>
        <w:pStyle w:val="Listeavsnitt"/>
        <w:autoSpaceDE w:val="0"/>
        <w:autoSpaceDN w:val="0"/>
        <w:adjustRightInd w:val="0"/>
        <w:spacing w:after="0" w:line="240" w:lineRule="auto"/>
        <w:rPr>
          <w:rFonts w:cs="Verdana"/>
          <w:i/>
          <w:sz w:val="24"/>
          <w:szCs w:val="24"/>
        </w:rPr>
      </w:pPr>
      <w:r w:rsidRPr="00FB3965">
        <w:rPr>
          <w:rFonts w:cs="Verdana"/>
          <w:i/>
          <w:sz w:val="24"/>
          <w:szCs w:val="24"/>
        </w:rPr>
        <w:t>«Styret har vedtatt at generalentreprise skal vurderes nærmere. Etter</w:t>
      </w:r>
    </w:p>
    <w:p w:rsidR="0036402F" w:rsidRPr="00FB3965" w:rsidRDefault="0036402F" w:rsidP="00FB3965">
      <w:pPr>
        <w:pStyle w:val="Listeavsnitt"/>
        <w:autoSpaceDE w:val="0"/>
        <w:autoSpaceDN w:val="0"/>
        <w:adjustRightInd w:val="0"/>
        <w:spacing w:after="0" w:line="240" w:lineRule="auto"/>
        <w:rPr>
          <w:rFonts w:cs="Verdana"/>
          <w:i/>
          <w:sz w:val="24"/>
          <w:szCs w:val="24"/>
        </w:rPr>
      </w:pPr>
      <w:r w:rsidRPr="00FB3965">
        <w:rPr>
          <w:rFonts w:cs="Verdana"/>
          <w:i/>
          <w:sz w:val="24"/>
          <w:szCs w:val="24"/>
        </w:rPr>
        <w:t>rådmannens vurdering er det vesentlig at det foretas slike vurderinger av</w:t>
      </w:r>
    </w:p>
    <w:p w:rsidR="0036402F" w:rsidRPr="00FB3965" w:rsidRDefault="0036402F" w:rsidP="00FB3965">
      <w:pPr>
        <w:pStyle w:val="Listeavsnitt"/>
        <w:autoSpaceDE w:val="0"/>
        <w:autoSpaceDN w:val="0"/>
        <w:adjustRightInd w:val="0"/>
        <w:spacing w:after="0" w:line="240" w:lineRule="auto"/>
        <w:rPr>
          <w:rFonts w:cs="Verdana"/>
          <w:i/>
          <w:sz w:val="24"/>
          <w:szCs w:val="24"/>
        </w:rPr>
      </w:pPr>
      <w:r w:rsidRPr="00FB3965">
        <w:rPr>
          <w:rFonts w:cs="Verdana"/>
          <w:i/>
          <w:sz w:val="24"/>
          <w:szCs w:val="24"/>
        </w:rPr>
        <w:t>eiendomsforetaket slik at endelig anbudsform er den mest</w:t>
      </w:r>
    </w:p>
    <w:p w:rsidR="0036402F" w:rsidRPr="00FB3965" w:rsidRDefault="0036402F" w:rsidP="00FB3965">
      <w:pPr>
        <w:pStyle w:val="Listeavsnitt"/>
        <w:autoSpaceDE w:val="0"/>
        <w:autoSpaceDN w:val="0"/>
        <w:adjustRightInd w:val="0"/>
        <w:spacing w:after="0" w:line="240" w:lineRule="auto"/>
        <w:rPr>
          <w:rFonts w:cs="Verdana"/>
          <w:i/>
          <w:sz w:val="24"/>
          <w:szCs w:val="24"/>
        </w:rPr>
      </w:pPr>
      <w:r w:rsidRPr="00FB3965">
        <w:rPr>
          <w:rFonts w:cs="Verdana"/>
          <w:i/>
          <w:sz w:val="24"/>
          <w:szCs w:val="24"/>
        </w:rPr>
        <w:t>hensiktsmessige for prosjektgjennomføringen samlet, innenfor de rammer</w:t>
      </w:r>
    </w:p>
    <w:p w:rsidR="0036402F" w:rsidRPr="00FB3965" w:rsidRDefault="0036402F" w:rsidP="00FB3965">
      <w:pPr>
        <w:pStyle w:val="Listeavsnitt"/>
        <w:autoSpaceDE w:val="0"/>
        <w:autoSpaceDN w:val="0"/>
        <w:adjustRightInd w:val="0"/>
        <w:spacing w:after="0" w:line="240" w:lineRule="auto"/>
        <w:rPr>
          <w:rFonts w:cs="Verdana"/>
          <w:i/>
          <w:sz w:val="24"/>
          <w:szCs w:val="24"/>
        </w:rPr>
      </w:pPr>
      <w:r w:rsidRPr="00FB3965">
        <w:rPr>
          <w:rFonts w:cs="Verdana"/>
          <w:i/>
          <w:sz w:val="24"/>
          <w:szCs w:val="24"/>
        </w:rPr>
        <w:t>som er tilstilt til disposisjon.</w:t>
      </w:r>
    </w:p>
    <w:p w:rsidR="0036402F" w:rsidRPr="00FB3965" w:rsidRDefault="0036402F" w:rsidP="00FB3965">
      <w:pPr>
        <w:pStyle w:val="Listeavsnitt"/>
        <w:spacing w:after="0"/>
        <w:rPr>
          <w:sz w:val="24"/>
          <w:szCs w:val="24"/>
        </w:rPr>
      </w:pPr>
      <w:r w:rsidRPr="00FB3965">
        <w:rPr>
          <w:rFonts w:cs="Verdana"/>
          <w:i/>
          <w:sz w:val="24"/>
          <w:szCs w:val="24"/>
        </w:rPr>
        <w:t>Saken skal behandles av bystyret som fatter endelig vedtak.</w:t>
      </w:r>
      <w:r w:rsidRPr="00FB3965">
        <w:rPr>
          <w:i/>
          <w:sz w:val="24"/>
          <w:szCs w:val="24"/>
        </w:rPr>
        <w:t>»</w:t>
      </w:r>
    </w:p>
    <w:p w:rsidR="0036402F" w:rsidRPr="00FB3965" w:rsidRDefault="0036402F" w:rsidP="00FB3965">
      <w:pPr>
        <w:pStyle w:val="Listeavsnitt"/>
        <w:autoSpaceDE w:val="0"/>
        <w:autoSpaceDN w:val="0"/>
        <w:adjustRightInd w:val="0"/>
        <w:spacing w:after="0" w:line="240" w:lineRule="auto"/>
        <w:rPr>
          <w:sz w:val="24"/>
          <w:szCs w:val="24"/>
        </w:rPr>
      </w:pPr>
      <w:r w:rsidRPr="00FB3965">
        <w:rPr>
          <w:sz w:val="24"/>
          <w:szCs w:val="24"/>
        </w:rPr>
        <w:t xml:space="preserve">I </w:t>
      </w:r>
      <w:r w:rsidR="00FB3965">
        <w:rPr>
          <w:sz w:val="24"/>
          <w:szCs w:val="24"/>
        </w:rPr>
        <w:t xml:space="preserve">nevnte </w:t>
      </w:r>
      <w:r w:rsidRPr="00FB3965">
        <w:rPr>
          <w:sz w:val="24"/>
          <w:szCs w:val="24"/>
        </w:rPr>
        <w:t>bystyre</w:t>
      </w:r>
      <w:r w:rsidR="00FB3965">
        <w:rPr>
          <w:sz w:val="24"/>
          <w:szCs w:val="24"/>
        </w:rPr>
        <w:t>sak</w:t>
      </w:r>
      <w:r w:rsidRPr="00FB3965">
        <w:rPr>
          <w:sz w:val="24"/>
          <w:szCs w:val="24"/>
        </w:rPr>
        <w:t xml:space="preserve"> ble følgende vedtatt (utdrag): «</w:t>
      </w:r>
      <w:r w:rsidRPr="00FB3965">
        <w:rPr>
          <w:rFonts w:cs="Verdana"/>
          <w:i/>
          <w:sz w:val="24"/>
          <w:szCs w:val="24"/>
        </w:rPr>
        <w:t>og at det vurderes nærmere hensiktsmessig anbudsform for samlet prosjekt- gjennomføring.»</w:t>
      </w:r>
      <w:r w:rsidRPr="00FB3965">
        <w:rPr>
          <w:sz w:val="24"/>
          <w:szCs w:val="24"/>
        </w:rPr>
        <w:t xml:space="preserve"> </w:t>
      </w:r>
    </w:p>
    <w:p w:rsidR="00CD669B" w:rsidRDefault="00CD669B" w:rsidP="003559A6">
      <w:pPr>
        <w:spacing w:after="0"/>
        <w:rPr>
          <w:sz w:val="24"/>
          <w:szCs w:val="24"/>
        </w:rPr>
      </w:pPr>
    </w:p>
    <w:p w:rsidR="00FB3965" w:rsidRDefault="00FB3965" w:rsidP="003559A6">
      <w:pPr>
        <w:spacing w:after="0"/>
        <w:rPr>
          <w:sz w:val="24"/>
          <w:szCs w:val="24"/>
        </w:rPr>
      </w:pPr>
    </w:p>
    <w:p w:rsidR="00287260" w:rsidRDefault="00287260" w:rsidP="003559A6">
      <w:pPr>
        <w:spacing w:after="0"/>
        <w:rPr>
          <w:sz w:val="24"/>
          <w:szCs w:val="24"/>
          <w:u w:val="single"/>
        </w:rPr>
      </w:pPr>
      <w:r w:rsidRPr="00287260">
        <w:rPr>
          <w:sz w:val="24"/>
          <w:szCs w:val="24"/>
          <w:u w:val="single"/>
        </w:rPr>
        <w:t>Publikumsrelaterte aktiviteter</w:t>
      </w:r>
    </w:p>
    <w:p w:rsidR="009C3CFD" w:rsidRPr="009C3CFD" w:rsidRDefault="009C3CFD" w:rsidP="003559A6">
      <w:pPr>
        <w:spacing w:after="0"/>
        <w:rPr>
          <w:sz w:val="24"/>
          <w:szCs w:val="24"/>
          <w:u w:val="single"/>
        </w:rPr>
      </w:pPr>
    </w:p>
    <w:p w:rsidR="009C3CFD" w:rsidRPr="009C3CFD" w:rsidRDefault="009C3CFD" w:rsidP="009C3CFD">
      <w:pPr>
        <w:overflowPunct w:val="0"/>
        <w:autoSpaceDE w:val="0"/>
        <w:autoSpaceDN w:val="0"/>
        <w:adjustRightInd w:val="0"/>
        <w:textAlignment w:val="baseline"/>
        <w:rPr>
          <w:sz w:val="24"/>
          <w:szCs w:val="24"/>
        </w:rPr>
      </w:pPr>
      <w:r w:rsidRPr="009C3CFD">
        <w:rPr>
          <w:sz w:val="24"/>
          <w:szCs w:val="24"/>
        </w:rPr>
        <w:t>I hht pkt 3 i styrevedtak i sak 158-15 skal administrasjonen bl. a. vurdere følgende, inkl økonomiske konsekvenser:</w:t>
      </w:r>
    </w:p>
    <w:p w:rsidR="009C3CFD" w:rsidRDefault="009C3CFD" w:rsidP="003559A6">
      <w:pPr>
        <w:spacing w:after="0"/>
        <w:rPr>
          <w:sz w:val="24"/>
          <w:szCs w:val="24"/>
          <w:u w:val="single"/>
        </w:rPr>
      </w:pPr>
    </w:p>
    <w:p w:rsidR="009C3CFD" w:rsidRPr="009C3CFD" w:rsidRDefault="009C3CFD" w:rsidP="009C3CFD">
      <w:pPr>
        <w:pStyle w:val="Listeavsnitt"/>
        <w:overflowPunct w:val="0"/>
        <w:autoSpaceDE w:val="0"/>
        <w:autoSpaceDN w:val="0"/>
        <w:adjustRightInd w:val="0"/>
        <w:ind w:left="0"/>
        <w:textAlignment w:val="baseline"/>
        <w:rPr>
          <w:i/>
        </w:rPr>
      </w:pPr>
      <w:r>
        <w:rPr>
          <w:i/>
        </w:rPr>
        <w:t>«</w:t>
      </w:r>
      <w:r w:rsidRPr="009C3CFD">
        <w:rPr>
          <w:i/>
        </w:rPr>
        <w:t>Det nye Sandnes Rådhus vil ha en meget sentral beliggenhet i framtidens sentrum med sørvest vendte uteområder og nær tilknytning til gjestehavnen.</w:t>
      </w:r>
    </w:p>
    <w:p w:rsidR="009C3CFD" w:rsidRPr="009C3CFD" w:rsidRDefault="009C3CFD" w:rsidP="009C3CFD">
      <w:pPr>
        <w:pStyle w:val="Listeavsnitt"/>
        <w:overflowPunct w:val="0"/>
        <w:autoSpaceDE w:val="0"/>
        <w:autoSpaceDN w:val="0"/>
        <w:adjustRightInd w:val="0"/>
        <w:ind w:left="0"/>
        <w:textAlignment w:val="baseline"/>
        <w:rPr>
          <w:i/>
        </w:rPr>
      </w:pPr>
      <w:r w:rsidRPr="009C3CFD">
        <w:rPr>
          <w:i/>
        </w:rPr>
        <w:t xml:space="preserve">På sommerstid vil uteområde foran Rådhuset være veldig attraktiv for byens befolkning gjennom opphold, vrimling, små konserter, lek og andre publikumstiltak. </w:t>
      </w:r>
    </w:p>
    <w:p w:rsidR="009C3CFD" w:rsidRPr="009C3CFD" w:rsidRDefault="009C3CFD" w:rsidP="009C3CFD">
      <w:pPr>
        <w:pStyle w:val="Listeavsnitt"/>
        <w:overflowPunct w:val="0"/>
        <w:autoSpaceDE w:val="0"/>
        <w:autoSpaceDN w:val="0"/>
        <w:adjustRightInd w:val="0"/>
        <w:ind w:left="0"/>
        <w:textAlignment w:val="baseline"/>
        <w:rPr>
          <w:i/>
        </w:rPr>
      </w:pPr>
      <w:r w:rsidRPr="009C3CFD">
        <w:rPr>
          <w:i/>
        </w:rPr>
        <w:t xml:space="preserve">I det framlagte forslag mot sør framstår Sandnes Rådhus som et lukket bygg i motsetning til nabo Sandnes Sparebank hvor det legges til rette for at uteområdet kan ha publikumsrelaterte aktiviteter som uteservering etc. </w:t>
      </w:r>
    </w:p>
    <w:p w:rsidR="009C3CFD" w:rsidRDefault="009C3CFD" w:rsidP="009C3CFD">
      <w:pPr>
        <w:pStyle w:val="Listeavsnitt"/>
        <w:overflowPunct w:val="0"/>
        <w:autoSpaceDE w:val="0"/>
        <w:autoSpaceDN w:val="0"/>
        <w:adjustRightInd w:val="0"/>
        <w:ind w:left="0"/>
        <w:textAlignment w:val="baseline"/>
      </w:pPr>
      <w:r w:rsidRPr="009C3CFD">
        <w:rPr>
          <w:i/>
        </w:rPr>
        <w:t>Styret anbefaler at også Sandnes Rådhus åpnes for publikumsrelaterte aktiviteter på sommerstid som uteservering, små konserter, etc, etc.</w:t>
      </w:r>
      <w:r>
        <w:rPr>
          <w:i/>
        </w:rPr>
        <w:t>»</w:t>
      </w:r>
    </w:p>
    <w:p w:rsidR="009C3CFD" w:rsidRDefault="009C3CFD" w:rsidP="009C3CFD">
      <w:pPr>
        <w:pStyle w:val="Listeavsnitt"/>
        <w:overflowPunct w:val="0"/>
        <w:autoSpaceDE w:val="0"/>
        <w:autoSpaceDN w:val="0"/>
        <w:adjustRightInd w:val="0"/>
        <w:ind w:left="0"/>
        <w:textAlignment w:val="baseline"/>
      </w:pPr>
    </w:p>
    <w:p w:rsidR="009C3CFD" w:rsidRDefault="009C3CFD" w:rsidP="009C3CFD">
      <w:pPr>
        <w:pStyle w:val="Listeavsnitt"/>
        <w:overflowPunct w:val="0"/>
        <w:autoSpaceDE w:val="0"/>
        <w:autoSpaceDN w:val="0"/>
        <w:adjustRightInd w:val="0"/>
        <w:ind w:left="0"/>
        <w:textAlignment w:val="baseline"/>
        <w:rPr>
          <w:sz w:val="24"/>
          <w:szCs w:val="24"/>
        </w:rPr>
      </w:pPr>
      <w:r>
        <w:rPr>
          <w:sz w:val="24"/>
          <w:szCs w:val="24"/>
        </w:rPr>
        <w:t xml:space="preserve">Følgende </w:t>
      </w:r>
      <w:r w:rsidR="00FC7BDF">
        <w:rPr>
          <w:sz w:val="24"/>
          <w:szCs w:val="24"/>
        </w:rPr>
        <w:t xml:space="preserve">anbefalinger / </w:t>
      </w:r>
      <w:r>
        <w:rPr>
          <w:sz w:val="24"/>
          <w:szCs w:val="24"/>
        </w:rPr>
        <w:t>vedtak er gjort tidligere som har relasjon til overnevnte:</w:t>
      </w:r>
    </w:p>
    <w:p w:rsidR="009C3CFD" w:rsidRPr="00FC7BDF" w:rsidRDefault="009C3CFD" w:rsidP="009C3CFD">
      <w:pPr>
        <w:pStyle w:val="Listeavsnitt"/>
        <w:overflowPunct w:val="0"/>
        <w:autoSpaceDE w:val="0"/>
        <w:autoSpaceDN w:val="0"/>
        <w:adjustRightInd w:val="0"/>
        <w:ind w:left="0"/>
        <w:textAlignment w:val="baseline"/>
        <w:rPr>
          <w:sz w:val="24"/>
          <w:szCs w:val="24"/>
        </w:rPr>
      </w:pPr>
    </w:p>
    <w:p w:rsidR="00FC7BDF" w:rsidRPr="00530C4A" w:rsidRDefault="00FC7BDF" w:rsidP="00530C4A">
      <w:pPr>
        <w:pStyle w:val="Listeavsnitt"/>
        <w:numPr>
          <w:ilvl w:val="0"/>
          <w:numId w:val="22"/>
        </w:numPr>
        <w:autoSpaceDE w:val="0"/>
        <w:autoSpaceDN w:val="0"/>
        <w:adjustRightInd w:val="0"/>
        <w:spacing w:after="0" w:line="240" w:lineRule="auto"/>
        <w:rPr>
          <w:rFonts w:cs="Verdana"/>
          <w:sz w:val="24"/>
          <w:szCs w:val="24"/>
        </w:rPr>
      </w:pPr>
      <w:r w:rsidRPr="00530C4A">
        <w:rPr>
          <w:rFonts w:cs="Helvetica-Light"/>
          <w:color w:val="000000"/>
          <w:sz w:val="24"/>
          <w:szCs w:val="24"/>
        </w:rPr>
        <w:t>I fra juryen’s rapport fra Åpen plan- og designkonkurranse for «Nytt rådhus i Sandnes» gis det a</w:t>
      </w:r>
      <w:r w:rsidRPr="00530C4A">
        <w:rPr>
          <w:rFonts w:cs="Verdana"/>
          <w:sz w:val="24"/>
          <w:szCs w:val="24"/>
        </w:rPr>
        <w:t>vslutningsvis i rapporten (kapittel 11) bla. a følgende anbefaling for videreføring av prosjektet:</w:t>
      </w:r>
    </w:p>
    <w:p w:rsidR="00FC7BDF" w:rsidRPr="00530C4A" w:rsidRDefault="00FC7BDF" w:rsidP="00530C4A">
      <w:pPr>
        <w:pStyle w:val="Listeavsnitt"/>
        <w:autoSpaceDE w:val="0"/>
        <w:autoSpaceDN w:val="0"/>
        <w:adjustRightInd w:val="0"/>
        <w:spacing w:after="0" w:line="240" w:lineRule="auto"/>
        <w:rPr>
          <w:rFonts w:cs="Verdana"/>
          <w:sz w:val="24"/>
          <w:szCs w:val="24"/>
        </w:rPr>
      </w:pPr>
      <w:r w:rsidRPr="00530C4A">
        <w:rPr>
          <w:rFonts w:cs="Verdana"/>
          <w:i/>
          <w:sz w:val="24"/>
          <w:szCs w:val="24"/>
        </w:rPr>
        <w:t>«En åpning av 1. etasjen mot sjøsiden bør vurderes. Eventuelt en plassering av kantinen i 1. etasje og at arealet på plan 2 konverteres til vrimleareal mellom bystyresal og formannskapssal»</w:t>
      </w:r>
    </w:p>
    <w:p w:rsidR="00530C4A" w:rsidRPr="00530C4A" w:rsidRDefault="00FC7BDF" w:rsidP="00530C4A">
      <w:pPr>
        <w:pStyle w:val="Listeavsnitt"/>
        <w:numPr>
          <w:ilvl w:val="0"/>
          <w:numId w:val="22"/>
        </w:numPr>
        <w:autoSpaceDE w:val="0"/>
        <w:autoSpaceDN w:val="0"/>
        <w:adjustRightInd w:val="0"/>
        <w:spacing w:after="0" w:line="240" w:lineRule="auto"/>
        <w:rPr>
          <w:rFonts w:cs="Verdana"/>
          <w:sz w:val="24"/>
          <w:szCs w:val="24"/>
        </w:rPr>
      </w:pPr>
      <w:r w:rsidRPr="00530C4A">
        <w:rPr>
          <w:rFonts w:cs="Verdana"/>
          <w:sz w:val="24"/>
          <w:szCs w:val="24"/>
        </w:rPr>
        <w:t xml:space="preserve">I Bystyresak 31/15 </w:t>
      </w:r>
      <w:r w:rsidR="00530C4A" w:rsidRPr="00530C4A">
        <w:rPr>
          <w:rFonts w:cs="Verdana"/>
          <w:sz w:val="24"/>
          <w:szCs w:val="24"/>
        </w:rPr>
        <w:t xml:space="preserve">(april 2015) </w:t>
      </w:r>
      <w:r w:rsidRPr="00530C4A">
        <w:rPr>
          <w:rFonts w:cs="Verdana"/>
          <w:sz w:val="24"/>
          <w:szCs w:val="24"/>
        </w:rPr>
        <w:t xml:space="preserve">ble det i pkt 2 bl.a vedtatt følgende: </w:t>
      </w:r>
      <w:r w:rsidR="00530C4A" w:rsidRPr="00530C4A">
        <w:rPr>
          <w:rFonts w:cs="Verdana"/>
          <w:sz w:val="24"/>
          <w:szCs w:val="24"/>
        </w:rPr>
        <w:t>«</w:t>
      </w:r>
      <w:r w:rsidRPr="00530C4A">
        <w:rPr>
          <w:rFonts w:cs="Verdana"/>
          <w:i/>
          <w:sz w:val="24"/>
          <w:szCs w:val="24"/>
        </w:rPr>
        <w:t>Bystyret slutter seg til at Sandnes Eiendomsselskap KF følger opp anbefalingene</w:t>
      </w:r>
      <w:r w:rsidR="00530C4A" w:rsidRPr="00530C4A">
        <w:rPr>
          <w:rFonts w:cs="Verdana"/>
          <w:i/>
          <w:sz w:val="24"/>
          <w:szCs w:val="24"/>
        </w:rPr>
        <w:t xml:space="preserve"> </w:t>
      </w:r>
      <w:r w:rsidRPr="00530C4A">
        <w:rPr>
          <w:rFonts w:cs="Verdana"/>
          <w:i/>
          <w:sz w:val="24"/>
          <w:szCs w:val="24"/>
        </w:rPr>
        <w:t>i juryens rapport,</w:t>
      </w:r>
      <w:r w:rsidR="00530C4A" w:rsidRPr="00530C4A">
        <w:rPr>
          <w:rFonts w:cs="Verdana"/>
          <w:i/>
          <w:sz w:val="24"/>
          <w:szCs w:val="24"/>
        </w:rPr>
        <w:t xml:space="preserve">» </w:t>
      </w:r>
      <w:r w:rsidRPr="00530C4A">
        <w:rPr>
          <w:rFonts w:cs="Verdana"/>
          <w:i/>
          <w:sz w:val="24"/>
          <w:szCs w:val="24"/>
        </w:rPr>
        <w:t xml:space="preserve"> </w:t>
      </w:r>
    </w:p>
    <w:p w:rsidR="00530C4A" w:rsidRPr="00530C4A" w:rsidRDefault="00530C4A" w:rsidP="00530C4A">
      <w:pPr>
        <w:pStyle w:val="Listeavsnitt"/>
        <w:numPr>
          <w:ilvl w:val="0"/>
          <w:numId w:val="22"/>
        </w:numPr>
        <w:spacing w:after="0"/>
        <w:rPr>
          <w:sz w:val="24"/>
          <w:szCs w:val="24"/>
        </w:rPr>
      </w:pPr>
      <w:r w:rsidRPr="00530C4A">
        <w:rPr>
          <w:rFonts w:cs="Verdana"/>
          <w:sz w:val="24"/>
          <w:szCs w:val="24"/>
        </w:rPr>
        <w:t xml:space="preserve">I styret i SEKF ble det i sak </w:t>
      </w:r>
      <w:r w:rsidRPr="00530C4A">
        <w:rPr>
          <w:sz w:val="24"/>
          <w:szCs w:val="24"/>
        </w:rPr>
        <w:t>125/15 (august 2015) enstemmig vedtatt følgende:</w:t>
      </w:r>
    </w:p>
    <w:p w:rsidR="00530C4A" w:rsidRDefault="00530C4A" w:rsidP="00530C4A">
      <w:pPr>
        <w:pStyle w:val="Listeavsnitt"/>
        <w:spacing w:after="0" w:line="240" w:lineRule="auto"/>
        <w:rPr>
          <w:sz w:val="24"/>
          <w:szCs w:val="24"/>
        </w:rPr>
      </w:pPr>
      <w:r>
        <w:rPr>
          <w:i/>
          <w:sz w:val="24"/>
          <w:szCs w:val="24"/>
        </w:rPr>
        <w:t>«</w:t>
      </w:r>
      <w:r w:rsidRPr="003B17C9">
        <w:rPr>
          <w:i/>
          <w:sz w:val="24"/>
          <w:szCs w:val="24"/>
        </w:rPr>
        <w:t>Det stilles som betingelse at fasade mot sør kan åpnes for publikumsaktiviteter, som</w:t>
      </w:r>
      <w:r>
        <w:rPr>
          <w:i/>
          <w:sz w:val="24"/>
          <w:szCs w:val="24"/>
        </w:rPr>
        <w:t xml:space="preserve"> </w:t>
      </w:r>
      <w:r w:rsidRPr="003B17C9">
        <w:rPr>
          <w:i/>
          <w:sz w:val="24"/>
          <w:szCs w:val="24"/>
        </w:rPr>
        <w:t>restaurant/uteservering etc.</w:t>
      </w:r>
      <w:r>
        <w:rPr>
          <w:i/>
          <w:sz w:val="24"/>
          <w:szCs w:val="24"/>
        </w:rPr>
        <w:t>»</w:t>
      </w:r>
    </w:p>
    <w:p w:rsidR="00530C4A" w:rsidRDefault="00530C4A" w:rsidP="00530C4A">
      <w:pPr>
        <w:pStyle w:val="Listeavsnitt"/>
        <w:spacing w:after="0" w:line="240" w:lineRule="auto"/>
        <w:ind w:left="0"/>
        <w:rPr>
          <w:sz w:val="24"/>
          <w:szCs w:val="24"/>
        </w:rPr>
      </w:pPr>
    </w:p>
    <w:p w:rsidR="00530C4A" w:rsidRDefault="00530C4A" w:rsidP="00530C4A">
      <w:pPr>
        <w:pStyle w:val="Listeavsnitt"/>
        <w:spacing w:after="0" w:line="240" w:lineRule="auto"/>
        <w:ind w:left="0"/>
        <w:rPr>
          <w:sz w:val="24"/>
          <w:szCs w:val="24"/>
        </w:rPr>
      </w:pPr>
    </w:p>
    <w:p w:rsidR="00530C4A" w:rsidRPr="00530C4A" w:rsidRDefault="00530C4A" w:rsidP="00530C4A">
      <w:pPr>
        <w:pStyle w:val="Listeavsnitt"/>
        <w:spacing w:after="0" w:line="240" w:lineRule="auto"/>
        <w:ind w:left="0"/>
        <w:rPr>
          <w:sz w:val="24"/>
          <w:szCs w:val="24"/>
        </w:rPr>
      </w:pPr>
    </w:p>
    <w:p w:rsidR="00530C4A" w:rsidRPr="00530C4A" w:rsidRDefault="00530C4A" w:rsidP="00530C4A">
      <w:pPr>
        <w:pStyle w:val="Listeavsnitt"/>
        <w:spacing w:after="0" w:line="240" w:lineRule="auto"/>
        <w:ind w:left="0"/>
        <w:rPr>
          <w:sz w:val="24"/>
          <w:szCs w:val="24"/>
          <w:u w:val="single"/>
        </w:rPr>
      </w:pPr>
      <w:r w:rsidRPr="00530C4A">
        <w:rPr>
          <w:i/>
          <w:sz w:val="24"/>
          <w:szCs w:val="24"/>
          <w:u w:val="single"/>
        </w:rPr>
        <w:t xml:space="preserve"> </w:t>
      </w:r>
      <w:r w:rsidRPr="00530C4A">
        <w:rPr>
          <w:sz w:val="24"/>
          <w:szCs w:val="24"/>
          <w:u w:val="single"/>
        </w:rPr>
        <w:t>Opsjon på drift og vedlikehold av tekniske fag</w:t>
      </w:r>
    </w:p>
    <w:p w:rsidR="00CF224B" w:rsidRPr="009C3CFD" w:rsidRDefault="009C3CFD" w:rsidP="00CF224B">
      <w:pPr>
        <w:overflowPunct w:val="0"/>
        <w:autoSpaceDE w:val="0"/>
        <w:autoSpaceDN w:val="0"/>
        <w:adjustRightInd w:val="0"/>
        <w:textAlignment w:val="baseline"/>
        <w:rPr>
          <w:sz w:val="24"/>
          <w:szCs w:val="24"/>
        </w:rPr>
      </w:pPr>
      <w:r w:rsidRPr="00530C4A">
        <w:rPr>
          <w:i/>
          <w:sz w:val="24"/>
          <w:szCs w:val="24"/>
        </w:rPr>
        <w:br/>
      </w:r>
      <w:r w:rsidR="00CF224B" w:rsidRPr="009C3CFD">
        <w:rPr>
          <w:sz w:val="24"/>
          <w:szCs w:val="24"/>
        </w:rPr>
        <w:t>I hht pkt 3 i styrevedtak i sak 158-15 skal administrasjonen bl. a. vurdere følgende, inkl økonomiske konsekvenser:</w:t>
      </w:r>
    </w:p>
    <w:p w:rsidR="00CF224B" w:rsidRPr="00CF224B" w:rsidRDefault="00CF224B" w:rsidP="00CF224B">
      <w:pPr>
        <w:overflowPunct w:val="0"/>
        <w:autoSpaceDE w:val="0"/>
        <w:autoSpaceDN w:val="0"/>
        <w:adjustRightInd w:val="0"/>
        <w:textAlignment w:val="baseline"/>
      </w:pPr>
      <w:r w:rsidRPr="00CF224B">
        <w:rPr>
          <w:i/>
        </w:rPr>
        <w:t>«Ved valg av tekniske fag skal det legges inn som premiss i anbudet at den som vinner anbudet gis en opsjon på å påta seg drifts og vedlikeholdsansvaret for sin del i 5 år.»</w:t>
      </w:r>
    </w:p>
    <w:p w:rsidR="00CF224B" w:rsidRDefault="00CF224B" w:rsidP="00CF224B">
      <w:pPr>
        <w:overflowPunct w:val="0"/>
        <w:autoSpaceDE w:val="0"/>
        <w:autoSpaceDN w:val="0"/>
        <w:adjustRightInd w:val="0"/>
        <w:textAlignment w:val="baseline"/>
        <w:rPr>
          <w:sz w:val="24"/>
          <w:szCs w:val="24"/>
        </w:rPr>
      </w:pPr>
    </w:p>
    <w:p w:rsidR="00CF224B" w:rsidRPr="00CF224B" w:rsidRDefault="00520596" w:rsidP="00CF224B">
      <w:pPr>
        <w:overflowPunct w:val="0"/>
        <w:autoSpaceDE w:val="0"/>
        <w:autoSpaceDN w:val="0"/>
        <w:adjustRightInd w:val="0"/>
        <w:textAlignment w:val="baseline"/>
        <w:rPr>
          <w:sz w:val="24"/>
          <w:szCs w:val="24"/>
        </w:rPr>
      </w:pPr>
      <w:r>
        <w:rPr>
          <w:sz w:val="24"/>
          <w:szCs w:val="24"/>
        </w:rPr>
        <w:t xml:space="preserve">Det vises her til </w:t>
      </w:r>
      <w:r w:rsidR="001F1902">
        <w:rPr>
          <w:sz w:val="24"/>
          <w:szCs w:val="24"/>
        </w:rPr>
        <w:t xml:space="preserve">etterfølgende </w:t>
      </w:r>
      <w:r>
        <w:rPr>
          <w:sz w:val="24"/>
          <w:szCs w:val="24"/>
        </w:rPr>
        <w:t xml:space="preserve">avsnitt «Vurderinger» der dette drøftes. </w:t>
      </w:r>
    </w:p>
    <w:p w:rsidR="00287260" w:rsidRDefault="00287260" w:rsidP="003559A6">
      <w:pPr>
        <w:spacing w:after="0"/>
        <w:rPr>
          <w:sz w:val="24"/>
          <w:szCs w:val="24"/>
        </w:rPr>
      </w:pPr>
    </w:p>
    <w:p w:rsidR="004C6DF3" w:rsidRDefault="004C6DF3" w:rsidP="00F834DF">
      <w:pPr>
        <w:autoSpaceDE w:val="0"/>
        <w:autoSpaceDN w:val="0"/>
        <w:adjustRightInd w:val="0"/>
        <w:spacing w:after="0" w:line="240" w:lineRule="auto"/>
        <w:rPr>
          <w:b/>
          <w:sz w:val="24"/>
          <w:szCs w:val="24"/>
          <w:u w:val="single"/>
        </w:rPr>
      </w:pPr>
    </w:p>
    <w:p w:rsidR="00720FD8" w:rsidRDefault="00720FD8" w:rsidP="00B30221">
      <w:pPr>
        <w:rPr>
          <w:b/>
          <w:sz w:val="28"/>
          <w:szCs w:val="28"/>
          <w:u w:val="single"/>
        </w:rPr>
      </w:pPr>
      <w:r w:rsidRPr="00720FD8">
        <w:rPr>
          <w:b/>
          <w:sz w:val="28"/>
          <w:szCs w:val="28"/>
          <w:u w:val="single"/>
        </w:rPr>
        <w:t>Vurderinger:</w:t>
      </w:r>
    </w:p>
    <w:p w:rsidR="0072445E" w:rsidRPr="006123FB" w:rsidRDefault="0072445E" w:rsidP="0072445E">
      <w:pPr>
        <w:spacing w:after="0"/>
        <w:rPr>
          <w:sz w:val="24"/>
          <w:szCs w:val="24"/>
          <w:u w:val="single"/>
        </w:rPr>
      </w:pPr>
      <w:r>
        <w:rPr>
          <w:sz w:val="24"/>
          <w:szCs w:val="24"/>
          <w:u w:val="single"/>
        </w:rPr>
        <w:t>Entrepriseform</w:t>
      </w:r>
    </w:p>
    <w:p w:rsidR="0072445E" w:rsidRDefault="0072445E" w:rsidP="004C6DF3">
      <w:pPr>
        <w:spacing w:after="0"/>
        <w:rPr>
          <w:sz w:val="24"/>
          <w:szCs w:val="24"/>
        </w:rPr>
      </w:pPr>
    </w:p>
    <w:p w:rsidR="0072445E" w:rsidRDefault="0072445E" w:rsidP="0072445E">
      <w:pPr>
        <w:spacing w:after="0"/>
        <w:rPr>
          <w:sz w:val="24"/>
          <w:szCs w:val="24"/>
        </w:rPr>
      </w:pPr>
      <w:r w:rsidRPr="00F9373C">
        <w:rPr>
          <w:sz w:val="24"/>
          <w:szCs w:val="24"/>
        </w:rPr>
        <w:t>Nytt rådhus var i utgangspunktet tenkt gjennomført som ren totalentreprise. Dette ble senere endret av bystyre i sak 5</w:t>
      </w:r>
      <w:r w:rsidR="001F1902">
        <w:rPr>
          <w:sz w:val="24"/>
          <w:szCs w:val="24"/>
        </w:rPr>
        <w:t>0</w:t>
      </w:r>
      <w:r w:rsidRPr="00F9373C">
        <w:rPr>
          <w:sz w:val="24"/>
          <w:szCs w:val="24"/>
        </w:rPr>
        <w:t xml:space="preserve">/14 hvor arkitektkonkurranse ble vedtatt å avholdes i forkant av totalentreprise (modifisert totalentreprise). Arkitektkonkurranse ble avholdt høsten 2014 / vinteren 2015, hvoretter vinner ble valgt. I denne sammenheng ble totalentreprise fremfor byggherrestyrt entreprise diskutert. Tema ble fremlagt i styresak 53/15 hvor daglig leder fikk fullmakt å vurdere byggherrestyrt entreprise. Saken som i utgangspunktet omhandlet valg av arkitektforslag, ble videresendt til </w:t>
      </w:r>
      <w:r w:rsidR="00F9373C" w:rsidRPr="00F9373C">
        <w:rPr>
          <w:sz w:val="24"/>
          <w:szCs w:val="24"/>
        </w:rPr>
        <w:t xml:space="preserve">bystyret. </w:t>
      </w:r>
      <w:r w:rsidRPr="00F9373C">
        <w:rPr>
          <w:sz w:val="24"/>
          <w:szCs w:val="24"/>
        </w:rPr>
        <w:t xml:space="preserve">I saken vedtar bystyret at Sandnes Eiendomsselskap KF vurderer nærmere hensiktsmessig anbudsform for samlet prosjektgjennomføring. Dette er gjort i sak 158 – 15 der det </w:t>
      </w:r>
      <w:r w:rsidR="00F9373C" w:rsidRPr="00F9373C">
        <w:rPr>
          <w:sz w:val="24"/>
          <w:szCs w:val="24"/>
        </w:rPr>
        <w:t xml:space="preserve">fra daglig leder </w:t>
      </w:r>
      <w:r w:rsidRPr="00F9373C">
        <w:rPr>
          <w:sz w:val="24"/>
          <w:szCs w:val="24"/>
        </w:rPr>
        <w:t xml:space="preserve">ble anbefalt at prosjektet ble gjennomført som en generalentreprise. Saken ble som kjent utsatt i og med at det ble stilt spørsmål hvorvidt entrepriseform kunne avgjøres av styret i SEKF eller om saken måtte videre til bystyret for endelig vedtak. </w:t>
      </w:r>
    </w:p>
    <w:p w:rsidR="0072445E" w:rsidRDefault="0072445E" w:rsidP="004C6DF3">
      <w:pPr>
        <w:spacing w:after="0"/>
        <w:rPr>
          <w:sz w:val="24"/>
          <w:szCs w:val="24"/>
        </w:rPr>
      </w:pPr>
    </w:p>
    <w:p w:rsidR="003B17C9" w:rsidRDefault="004C6DF3" w:rsidP="00046B8A">
      <w:pPr>
        <w:spacing w:after="0"/>
        <w:rPr>
          <w:sz w:val="24"/>
          <w:szCs w:val="24"/>
        </w:rPr>
      </w:pPr>
      <w:r>
        <w:rPr>
          <w:sz w:val="24"/>
          <w:szCs w:val="24"/>
        </w:rPr>
        <w:t xml:space="preserve">Daglig leder har </w:t>
      </w:r>
      <w:r w:rsidR="00325BE1">
        <w:rPr>
          <w:sz w:val="24"/>
          <w:szCs w:val="24"/>
        </w:rPr>
        <w:t xml:space="preserve">i samråd med styreleder </w:t>
      </w:r>
      <w:r w:rsidR="00616131">
        <w:rPr>
          <w:sz w:val="24"/>
          <w:szCs w:val="24"/>
        </w:rPr>
        <w:t xml:space="preserve">bedt kommuneadvokaten å vurdere </w:t>
      </w:r>
      <w:r w:rsidR="00325BE1">
        <w:rPr>
          <w:sz w:val="24"/>
          <w:szCs w:val="24"/>
        </w:rPr>
        <w:t xml:space="preserve">tidligere </w:t>
      </w:r>
      <w:r w:rsidR="00616131">
        <w:rPr>
          <w:sz w:val="24"/>
          <w:szCs w:val="24"/>
        </w:rPr>
        <w:t>vedtak gjort av Sandnes Eiendomsselskap</w:t>
      </w:r>
      <w:r w:rsidR="00B54DB9">
        <w:rPr>
          <w:sz w:val="24"/>
          <w:szCs w:val="24"/>
        </w:rPr>
        <w:t xml:space="preserve"> KF</w:t>
      </w:r>
      <w:r w:rsidR="00616131">
        <w:rPr>
          <w:sz w:val="24"/>
          <w:szCs w:val="24"/>
        </w:rPr>
        <w:t xml:space="preserve">, Formannskapet og Bystyret som omhandler entrepriseform. </w:t>
      </w:r>
      <w:r w:rsidR="00325BE1">
        <w:rPr>
          <w:sz w:val="24"/>
          <w:szCs w:val="24"/>
        </w:rPr>
        <w:t xml:space="preserve">Kommuneadvokaten har svart på henvendelsen og mener </w:t>
      </w:r>
      <w:r w:rsidR="005B7B13">
        <w:rPr>
          <w:sz w:val="24"/>
          <w:szCs w:val="24"/>
        </w:rPr>
        <w:t>at bystyrevedtak</w:t>
      </w:r>
      <w:r w:rsidR="00616131">
        <w:rPr>
          <w:sz w:val="24"/>
          <w:szCs w:val="24"/>
        </w:rPr>
        <w:t xml:space="preserve"> 31/15 </w:t>
      </w:r>
      <w:r w:rsidR="005B7B13">
        <w:rPr>
          <w:sz w:val="24"/>
          <w:szCs w:val="24"/>
        </w:rPr>
        <w:t>ikke gir Sandnes Eiendomsselskap</w:t>
      </w:r>
      <w:r w:rsidR="00B54DB9">
        <w:rPr>
          <w:sz w:val="24"/>
          <w:szCs w:val="24"/>
        </w:rPr>
        <w:t xml:space="preserve"> KF</w:t>
      </w:r>
      <w:r w:rsidR="005B7B13">
        <w:rPr>
          <w:sz w:val="24"/>
          <w:szCs w:val="24"/>
        </w:rPr>
        <w:t xml:space="preserve"> fullmakt til å endre bystyrevedtak </w:t>
      </w:r>
      <w:r w:rsidR="00770488">
        <w:rPr>
          <w:sz w:val="24"/>
          <w:szCs w:val="24"/>
        </w:rPr>
        <w:t xml:space="preserve">i sak 50/14 </w:t>
      </w:r>
      <w:r w:rsidR="005B7B13">
        <w:rPr>
          <w:sz w:val="24"/>
          <w:szCs w:val="24"/>
        </w:rPr>
        <w:t>om totalentreprise</w:t>
      </w:r>
      <w:r w:rsidR="00770488">
        <w:rPr>
          <w:sz w:val="24"/>
          <w:szCs w:val="24"/>
        </w:rPr>
        <w:t>.</w:t>
      </w:r>
    </w:p>
    <w:p w:rsidR="00224204" w:rsidRDefault="00224204" w:rsidP="00046B8A">
      <w:pPr>
        <w:spacing w:after="0"/>
        <w:rPr>
          <w:sz w:val="24"/>
          <w:szCs w:val="24"/>
        </w:rPr>
      </w:pPr>
    </w:p>
    <w:p w:rsidR="000E7A2A" w:rsidRDefault="003B17C9" w:rsidP="00F9373C">
      <w:pPr>
        <w:pStyle w:val="Listeavsnitt"/>
        <w:spacing w:after="0"/>
        <w:ind w:left="0"/>
        <w:rPr>
          <w:rFonts w:cs="Verdana"/>
          <w:sz w:val="24"/>
          <w:szCs w:val="24"/>
        </w:rPr>
      </w:pPr>
      <w:r>
        <w:rPr>
          <w:sz w:val="24"/>
          <w:szCs w:val="24"/>
        </w:rPr>
        <w:t xml:space="preserve">I </w:t>
      </w:r>
      <w:r w:rsidR="00942173">
        <w:rPr>
          <w:sz w:val="24"/>
          <w:szCs w:val="24"/>
        </w:rPr>
        <w:t>spørsmål fra styret</w:t>
      </w:r>
      <w:r>
        <w:rPr>
          <w:sz w:val="24"/>
          <w:szCs w:val="24"/>
        </w:rPr>
        <w:t xml:space="preserve"> om entreprisefor</w:t>
      </w:r>
      <w:r w:rsidR="00B54DB9">
        <w:rPr>
          <w:sz w:val="24"/>
          <w:szCs w:val="24"/>
        </w:rPr>
        <w:t>m</w:t>
      </w:r>
      <w:r>
        <w:rPr>
          <w:sz w:val="24"/>
          <w:szCs w:val="24"/>
        </w:rPr>
        <w:t xml:space="preserve"> reelt sett er besluttet, vurderes det slik at bys</w:t>
      </w:r>
      <w:r w:rsidR="00224204">
        <w:rPr>
          <w:sz w:val="24"/>
          <w:szCs w:val="24"/>
        </w:rPr>
        <w:t>tyret forventer tilbakemelding på Sandnes Eiendom</w:t>
      </w:r>
      <w:r w:rsidR="00B54DB9">
        <w:rPr>
          <w:sz w:val="24"/>
          <w:szCs w:val="24"/>
        </w:rPr>
        <w:t>sselskap KF</w:t>
      </w:r>
      <w:r w:rsidR="00224204">
        <w:rPr>
          <w:sz w:val="24"/>
          <w:szCs w:val="24"/>
        </w:rPr>
        <w:t xml:space="preserve"> sin vurdering av entrepriseform. Dette ut fra vedtak i sak 31/15 som beskriver at bystyret slutter seg til at Sandnes Eiendomsselskap </w:t>
      </w:r>
      <w:r w:rsidR="00B54DB9">
        <w:rPr>
          <w:sz w:val="24"/>
          <w:szCs w:val="24"/>
        </w:rPr>
        <w:t xml:space="preserve">KF </w:t>
      </w:r>
      <w:r w:rsidR="00224204">
        <w:rPr>
          <w:sz w:val="24"/>
          <w:szCs w:val="24"/>
        </w:rPr>
        <w:t>vurdere nærmere hensiktsmessig anbudsform for samlet prosjekt- gjennomføring</w:t>
      </w:r>
      <w:r w:rsidR="00B54DB9">
        <w:rPr>
          <w:sz w:val="24"/>
          <w:szCs w:val="24"/>
        </w:rPr>
        <w:t>.</w:t>
      </w:r>
      <w:r w:rsidR="00F9373C">
        <w:rPr>
          <w:sz w:val="24"/>
          <w:szCs w:val="24"/>
        </w:rPr>
        <w:t xml:space="preserve"> Det vises også til rådmannens saksutredning i sak 31/15 hvor det</w:t>
      </w:r>
      <w:r w:rsidR="001F1902">
        <w:rPr>
          <w:sz w:val="24"/>
          <w:szCs w:val="24"/>
        </w:rPr>
        <w:t xml:space="preserve"> </w:t>
      </w:r>
      <w:r w:rsidR="00F9373C">
        <w:rPr>
          <w:sz w:val="24"/>
          <w:szCs w:val="24"/>
        </w:rPr>
        <w:t>fremkommer at «s</w:t>
      </w:r>
      <w:r w:rsidR="00F9373C" w:rsidRPr="00FB3965">
        <w:rPr>
          <w:rFonts w:cs="Verdana"/>
          <w:i/>
          <w:sz w:val="24"/>
          <w:szCs w:val="24"/>
        </w:rPr>
        <w:t>aken skal behandles av bystyret som fatter endelig vedtak</w:t>
      </w:r>
      <w:r w:rsidR="00F9373C">
        <w:rPr>
          <w:rFonts w:cs="Verdana"/>
          <w:i/>
          <w:sz w:val="24"/>
          <w:szCs w:val="24"/>
        </w:rPr>
        <w:t>.»</w:t>
      </w:r>
    </w:p>
    <w:p w:rsidR="00F9373C" w:rsidRDefault="00F9373C" w:rsidP="00F9373C">
      <w:pPr>
        <w:pStyle w:val="Listeavsnitt"/>
        <w:spacing w:after="0"/>
        <w:ind w:left="0"/>
        <w:rPr>
          <w:rFonts w:cs="Verdana"/>
          <w:sz w:val="24"/>
          <w:szCs w:val="24"/>
        </w:rPr>
      </w:pPr>
    </w:p>
    <w:p w:rsidR="00224204" w:rsidRDefault="00F9373C" w:rsidP="00F9373C">
      <w:pPr>
        <w:pStyle w:val="Listeavsnitt"/>
        <w:spacing w:after="0"/>
        <w:ind w:left="0"/>
        <w:rPr>
          <w:sz w:val="24"/>
          <w:szCs w:val="24"/>
        </w:rPr>
      </w:pPr>
      <w:r>
        <w:rPr>
          <w:rFonts w:cs="Verdana"/>
          <w:sz w:val="24"/>
          <w:szCs w:val="24"/>
        </w:rPr>
        <w:t xml:space="preserve">Daglig leder viser til saksutredning i sak 158 – 15 vedr forslag til valg av entrepriseformen. Etter at styret har valgt entrepriseform må saken videresendes rådmannen for videre oppfølging. </w:t>
      </w:r>
    </w:p>
    <w:p w:rsidR="00F9373C" w:rsidRDefault="00F9373C" w:rsidP="00046B8A">
      <w:pPr>
        <w:spacing w:after="0"/>
        <w:rPr>
          <w:sz w:val="24"/>
          <w:szCs w:val="24"/>
        </w:rPr>
      </w:pPr>
    </w:p>
    <w:p w:rsidR="00F9373C" w:rsidRDefault="00F9373C" w:rsidP="00F9373C">
      <w:pPr>
        <w:spacing w:after="0"/>
        <w:rPr>
          <w:sz w:val="24"/>
          <w:szCs w:val="24"/>
          <w:u w:val="single"/>
        </w:rPr>
      </w:pPr>
      <w:r w:rsidRPr="00287260">
        <w:rPr>
          <w:sz w:val="24"/>
          <w:szCs w:val="24"/>
          <w:u w:val="single"/>
        </w:rPr>
        <w:t>Publikumsrelaterte aktiviteter</w:t>
      </w:r>
    </w:p>
    <w:p w:rsidR="00F9373C" w:rsidRDefault="00F9373C" w:rsidP="00046B8A">
      <w:pPr>
        <w:spacing w:after="0"/>
        <w:rPr>
          <w:sz w:val="24"/>
          <w:szCs w:val="24"/>
        </w:rPr>
      </w:pPr>
    </w:p>
    <w:p w:rsidR="00EC2660" w:rsidRDefault="00F9373C" w:rsidP="00046B8A">
      <w:pPr>
        <w:spacing w:after="0"/>
        <w:rPr>
          <w:sz w:val="24"/>
          <w:szCs w:val="24"/>
        </w:rPr>
      </w:pPr>
      <w:r>
        <w:rPr>
          <w:sz w:val="24"/>
          <w:szCs w:val="24"/>
        </w:rPr>
        <w:t xml:space="preserve">Det vises til ovenfor saksopplysninger vedr dette forhold. </w:t>
      </w:r>
      <w:r w:rsidR="00351D4F">
        <w:rPr>
          <w:sz w:val="24"/>
          <w:szCs w:val="24"/>
        </w:rPr>
        <w:t xml:space="preserve">Som det her fremkommer </w:t>
      </w:r>
      <w:r w:rsidR="00815F1A">
        <w:rPr>
          <w:sz w:val="24"/>
          <w:szCs w:val="24"/>
        </w:rPr>
        <w:t xml:space="preserve">vedtok </w:t>
      </w:r>
      <w:r w:rsidR="00351D4F">
        <w:rPr>
          <w:sz w:val="24"/>
          <w:szCs w:val="24"/>
        </w:rPr>
        <w:t xml:space="preserve">styret i august </w:t>
      </w:r>
      <w:r w:rsidR="00845681" w:rsidRPr="00845681">
        <w:rPr>
          <w:sz w:val="24"/>
          <w:szCs w:val="24"/>
        </w:rPr>
        <w:t>at fasade mot sør skal åpn</w:t>
      </w:r>
      <w:r w:rsidR="00815F1A">
        <w:rPr>
          <w:sz w:val="24"/>
          <w:szCs w:val="24"/>
        </w:rPr>
        <w:t>es opp for publikumsaktiviteter. Vedtak var som følgende;</w:t>
      </w:r>
    </w:p>
    <w:p w:rsidR="00EC2660" w:rsidRDefault="00EC2660" w:rsidP="00046B8A">
      <w:pPr>
        <w:spacing w:after="0"/>
        <w:rPr>
          <w:sz w:val="24"/>
          <w:szCs w:val="24"/>
        </w:rPr>
      </w:pPr>
    </w:p>
    <w:p w:rsidR="00EC2660" w:rsidRPr="003B17C9" w:rsidRDefault="00B776BA" w:rsidP="00B776BA">
      <w:pPr>
        <w:pStyle w:val="Listeavsnitt"/>
        <w:spacing w:after="0" w:line="240" w:lineRule="auto"/>
        <w:ind w:left="360"/>
        <w:rPr>
          <w:i/>
          <w:sz w:val="24"/>
          <w:szCs w:val="24"/>
        </w:rPr>
      </w:pPr>
      <w:r>
        <w:rPr>
          <w:i/>
          <w:sz w:val="24"/>
          <w:szCs w:val="24"/>
        </w:rPr>
        <w:t>«</w:t>
      </w:r>
      <w:r w:rsidR="00EC2660" w:rsidRPr="003B17C9">
        <w:rPr>
          <w:i/>
          <w:sz w:val="24"/>
          <w:szCs w:val="24"/>
        </w:rPr>
        <w:t>Det stilles som betingelse at fasade mot sør kan åpnes for publikumsaktiviteter, som</w:t>
      </w:r>
    </w:p>
    <w:p w:rsidR="00EC2660" w:rsidRPr="003B17C9" w:rsidRDefault="00EC2660" w:rsidP="00B776BA">
      <w:pPr>
        <w:pStyle w:val="Listeavsnitt"/>
        <w:spacing w:after="0" w:line="240" w:lineRule="auto"/>
        <w:ind w:left="360"/>
        <w:rPr>
          <w:i/>
          <w:sz w:val="24"/>
          <w:szCs w:val="24"/>
        </w:rPr>
      </w:pPr>
      <w:r w:rsidRPr="003B17C9">
        <w:rPr>
          <w:i/>
          <w:sz w:val="24"/>
          <w:szCs w:val="24"/>
        </w:rPr>
        <w:t>restaurant/uteservering etc.</w:t>
      </w:r>
      <w:r w:rsidR="00B776BA">
        <w:rPr>
          <w:i/>
          <w:sz w:val="24"/>
          <w:szCs w:val="24"/>
        </w:rPr>
        <w:t>»</w:t>
      </w:r>
      <w:r w:rsidRPr="003B17C9">
        <w:rPr>
          <w:i/>
          <w:sz w:val="24"/>
          <w:szCs w:val="24"/>
        </w:rPr>
        <w:t xml:space="preserve"> </w:t>
      </w:r>
    </w:p>
    <w:p w:rsidR="003B17C9" w:rsidRPr="00EC2660" w:rsidRDefault="003B17C9" w:rsidP="00EC2660">
      <w:pPr>
        <w:pStyle w:val="Listeavsnitt"/>
        <w:spacing w:after="0" w:line="240" w:lineRule="auto"/>
        <w:ind w:left="360" w:hanging="360"/>
        <w:rPr>
          <w:i/>
        </w:rPr>
      </w:pPr>
    </w:p>
    <w:p w:rsidR="00C731E3" w:rsidRDefault="00351D4F" w:rsidP="00C731E3">
      <w:pPr>
        <w:rPr>
          <w:sz w:val="24"/>
          <w:szCs w:val="24"/>
        </w:rPr>
      </w:pPr>
      <w:r>
        <w:rPr>
          <w:sz w:val="24"/>
          <w:szCs w:val="24"/>
        </w:rPr>
        <w:t>I skisseprosjektet fremkommer ikke en slik løsning</w:t>
      </w:r>
      <w:r w:rsidR="00C731E3">
        <w:rPr>
          <w:sz w:val="24"/>
          <w:szCs w:val="24"/>
        </w:rPr>
        <w:t xml:space="preserve"> da en så langt </w:t>
      </w:r>
      <w:r>
        <w:rPr>
          <w:sz w:val="24"/>
          <w:szCs w:val="24"/>
        </w:rPr>
        <w:t xml:space="preserve">ikke har arbeidet </w:t>
      </w:r>
      <w:r w:rsidR="00C731E3">
        <w:rPr>
          <w:sz w:val="24"/>
          <w:szCs w:val="24"/>
        </w:rPr>
        <w:t xml:space="preserve">konkret </w:t>
      </w:r>
      <w:r>
        <w:rPr>
          <w:sz w:val="24"/>
          <w:szCs w:val="24"/>
        </w:rPr>
        <w:t xml:space="preserve">med </w:t>
      </w:r>
      <w:r w:rsidR="00C731E3">
        <w:rPr>
          <w:sz w:val="24"/>
          <w:szCs w:val="24"/>
        </w:rPr>
        <w:t>dette</w:t>
      </w:r>
      <w:r>
        <w:rPr>
          <w:sz w:val="24"/>
          <w:szCs w:val="24"/>
        </w:rPr>
        <w:t xml:space="preserve">. </w:t>
      </w:r>
      <w:r w:rsidR="00C731E3">
        <w:rPr>
          <w:sz w:val="24"/>
          <w:szCs w:val="24"/>
        </w:rPr>
        <w:t>Arkitekten arbeider med ulike alternativer for kantine/restaurant i 1. etasje samt åpning av fasade mot sør for tilkomst mellom kantine/restaurant og uteområdet. Løsning forventes fremlagt i forprosjektrapport.</w:t>
      </w:r>
    </w:p>
    <w:p w:rsidR="0001067B" w:rsidRDefault="0001067B" w:rsidP="00046B8A">
      <w:pPr>
        <w:spacing w:after="0"/>
        <w:rPr>
          <w:sz w:val="24"/>
          <w:szCs w:val="24"/>
        </w:rPr>
      </w:pPr>
      <w:r>
        <w:rPr>
          <w:sz w:val="24"/>
          <w:szCs w:val="24"/>
        </w:rPr>
        <w:t>Økonomisk</w:t>
      </w:r>
      <w:r w:rsidR="003B17C9">
        <w:rPr>
          <w:sz w:val="24"/>
          <w:szCs w:val="24"/>
        </w:rPr>
        <w:t>e</w:t>
      </w:r>
      <w:r>
        <w:rPr>
          <w:sz w:val="24"/>
          <w:szCs w:val="24"/>
        </w:rPr>
        <w:t xml:space="preserve"> konsekvens</w:t>
      </w:r>
      <w:r w:rsidR="003B17C9">
        <w:rPr>
          <w:sz w:val="24"/>
          <w:szCs w:val="24"/>
        </w:rPr>
        <w:t>er</w:t>
      </w:r>
      <w:r>
        <w:rPr>
          <w:sz w:val="24"/>
          <w:szCs w:val="24"/>
        </w:rPr>
        <w:t xml:space="preserve"> </w:t>
      </w:r>
      <w:r w:rsidR="00C37ECF">
        <w:rPr>
          <w:sz w:val="24"/>
          <w:szCs w:val="24"/>
        </w:rPr>
        <w:t>vil være</w:t>
      </w:r>
      <w:r>
        <w:rPr>
          <w:sz w:val="24"/>
          <w:szCs w:val="24"/>
        </w:rPr>
        <w:t xml:space="preserve"> </w:t>
      </w:r>
      <w:r w:rsidR="00C37ECF">
        <w:rPr>
          <w:sz w:val="24"/>
          <w:szCs w:val="24"/>
        </w:rPr>
        <w:t xml:space="preserve">tiltak </w:t>
      </w:r>
      <w:r w:rsidR="001A23C9">
        <w:rPr>
          <w:sz w:val="24"/>
          <w:szCs w:val="24"/>
        </w:rPr>
        <w:t>med</w:t>
      </w:r>
      <w:r w:rsidR="00C37ECF">
        <w:rPr>
          <w:sz w:val="24"/>
          <w:szCs w:val="24"/>
        </w:rPr>
        <w:t xml:space="preserve"> å </w:t>
      </w:r>
      <w:r>
        <w:rPr>
          <w:sz w:val="24"/>
          <w:szCs w:val="24"/>
        </w:rPr>
        <w:t>avgrens</w:t>
      </w:r>
      <w:r w:rsidR="00C37ECF">
        <w:rPr>
          <w:sz w:val="24"/>
          <w:szCs w:val="24"/>
        </w:rPr>
        <w:t>e</w:t>
      </w:r>
      <w:r>
        <w:rPr>
          <w:sz w:val="24"/>
          <w:szCs w:val="24"/>
        </w:rPr>
        <w:t xml:space="preserve"> </w:t>
      </w:r>
      <w:r w:rsidR="00C37ECF">
        <w:rPr>
          <w:sz w:val="24"/>
          <w:szCs w:val="24"/>
        </w:rPr>
        <w:t xml:space="preserve">tilkomst </w:t>
      </w:r>
      <w:r>
        <w:rPr>
          <w:sz w:val="24"/>
          <w:szCs w:val="24"/>
        </w:rPr>
        <w:t xml:space="preserve">til resterende rådhus på kveldstid </w:t>
      </w:r>
      <w:r w:rsidR="00770488">
        <w:rPr>
          <w:sz w:val="24"/>
          <w:szCs w:val="24"/>
        </w:rPr>
        <w:t>samt</w:t>
      </w:r>
      <w:r>
        <w:rPr>
          <w:sz w:val="24"/>
          <w:szCs w:val="24"/>
        </w:rPr>
        <w:t xml:space="preserve"> åpning av fasade i sør. </w:t>
      </w:r>
      <w:r w:rsidR="005B7B13">
        <w:rPr>
          <w:sz w:val="24"/>
          <w:szCs w:val="24"/>
        </w:rPr>
        <w:t>Kostnad</w:t>
      </w:r>
      <w:r w:rsidR="003B17C9">
        <w:rPr>
          <w:sz w:val="24"/>
          <w:szCs w:val="24"/>
        </w:rPr>
        <w:t xml:space="preserve">skonsekvens </w:t>
      </w:r>
      <w:r w:rsidR="005B7B13">
        <w:rPr>
          <w:sz w:val="24"/>
          <w:szCs w:val="24"/>
        </w:rPr>
        <w:t>vurderes som mindre.</w:t>
      </w:r>
    </w:p>
    <w:p w:rsidR="00E54C05" w:rsidRDefault="00E54C05" w:rsidP="00046B8A">
      <w:pPr>
        <w:spacing w:after="0"/>
        <w:rPr>
          <w:sz w:val="24"/>
          <w:szCs w:val="24"/>
        </w:rPr>
      </w:pPr>
    </w:p>
    <w:p w:rsidR="00351D4F" w:rsidRPr="00530C4A" w:rsidRDefault="00351D4F" w:rsidP="00351D4F">
      <w:pPr>
        <w:pStyle w:val="Listeavsnitt"/>
        <w:spacing w:after="0" w:line="240" w:lineRule="auto"/>
        <w:ind w:left="0"/>
        <w:rPr>
          <w:sz w:val="24"/>
          <w:szCs w:val="24"/>
          <w:u w:val="single"/>
        </w:rPr>
      </w:pPr>
      <w:r w:rsidRPr="00530C4A">
        <w:rPr>
          <w:sz w:val="24"/>
          <w:szCs w:val="24"/>
          <w:u w:val="single"/>
        </w:rPr>
        <w:t>Opsjon på drift og vedlikehold av tekniske fag</w:t>
      </w:r>
    </w:p>
    <w:p w:rsidR="00351D4F" w:rsidRDefault="00351D4F" w:rsidP="00046B8A">
      <w:pPr>
        <w:spacing w:after="0"/>
        <w:rPr>
          <w:sz w:val="24"/>
          <w:szCs w:val="24"/>
        </w:rPr>
      </w:pPr>
    </w:p>
    <w:p w:rsidR="00351D4F" w:rsidRDefault="00351D4F" w:rsidP="00046B8A">
      <w:pPr>
        <w:spacing w:after="0"/>
        <w:rPr>
          <w:sz w:val="24"/>
          <w:szCs w:val="24"/>
        </w:rPr>
      </w:pPr>
    </w:p>
    <w:p w:rsidR="00845681" w:rsidRDefault="007F2123" w:rsidP="00046B8A">
      <w:pPr>
        <w:spacing w:after="0"/>
        <w:rPr>
          <w:sz w:val="24"/>
          <w:szCs w:val="24"/>
        </w:rPr>
      </w:pPr>
      <w:r>
        <w:rPr>
          <w:sz w:val="24"/>
          <w:szCs w:val="24"/>
        </w:rPr>
        <w:t>Sandnes Eiendomsselskap KF har etablert rutiner for investeringsprosjekte</w:t>
      </w:r>
      <w:r w:rsidR="001F1902">
        <w:rPr>
          <w:sz w:val="24"/>
          <w:szCs w:val="24"/>
        </w:rPr>
        <w:t>r</w:t>
      </w:r>
      <w:r>
        <w:rPr>
          <w:sz w:val="24"/>
          <w:szCs w:val="24"/>
        </w:rPr>
        <w:t xml:space="preserve"> som går på overtakelse og prøvedrift. </w:t>
      </w:r>
      <w:r w:rsidR="003874B7">
        <w:rPr>
          <w:sz w:val="24"/>
          <w:szCs w:val="24"/>
        </w:rPr>
        <w:t xml:space="preserve">En tilfredsstillende prøvedrift </w:t>
      </w:r>
      <w:r w:rsidR="00C37ECF">
        <w:rPr>
          <w:sz w:val="24"/>
          <w:szCs w:val="24"/>
        </w:rPr>
        <w:t>henger sammen med kvalitet på</w:t>
      </w:r>
      <w:r>
        <w:rPr>
          <w:sz w:val="24"/>
          <w:szCs w:val="24"/>
        </w:rPr>
        <w:t xml:space="preserve"> </w:t>
      </w:r>
      <w:r w:rsidR="00D1776F">
        <w:rPr>
          <w:sz w:val="24"/>
          <w:szCs w:val="24"/>
        </w:rPr>
        <w:t>sluttleveranser</w:t>
      </w:r>
      <w:r>
        <w:rPr>
          <w:sz w:val="24"/>
          <w:szCs w:val="24"/>
        </w:rPr>
        <w:t xml:space="preserve"> før </w:t>
      </w:r>
      <w:r w:rsidR="00C37ECF">
        <w:rPr>
          <w:sz w:val="24"/>
          <w:szCs w:val="24"/>
        </w:rPr>
        <w:t>overtakelse</w:t>
      </w:r>
      <w:r w:rsidR="001A23C9">
        <w:rPr>
          <w:sz w:val="24"/>
          <w:szCs w:val="24"/>
        </w:rPr>
        <w:t xml:space="preserve">s tidspunkt. </w:t>
      </w:r>
      <w:r w:rsidR="00942173">
        <w:rPr>
          <w:sz w:val="24"/>
          <w:szCs w:val="24"/>
        </w:rPr>
        <w:t>S</w:t>
      </w:r>
      <w:r w:rsidR="00DF47B1">
        <w:rPr>
          <w:sz w:val="24"/>
          <w:szCs w:val="24"/>
        </w:rPr>
        <w:t>luttleveranser</w:t>
      </w:r>
      <w:r w:rsidR="00D1776F">
        <w:rPr>
          <w:sz w:val="24"/>
          <w:szCs w:val="24"/>
        </w:rPr>
        <w:t xml:space="preserve"> </w:t>
      </w:r>
      <w:r w:rsidR="00942173">
        <w:rPr>
          <w:sz w:val="24"/>
          <w:szCs w:val="24"/>
        </w:rPr>
        <w:t xml:space="preserve">i denne sammenheng er </w:t>
      </w:r>
      <w:r w:rsidR="00D1776F">
        <w:rPr>
          <w:sz w:val="24"/>
          <w:szCs w:val="24"/>
        </w:rPr>
        <w:t xml:space="preserve">FDV-dokumentasjon med funksjonsbeskrivelser </w:t>
      </w:r>
      <w:r w:rsidR="003874B7">
        <w:rPr>
          <w:sz w:val="24"/>
          <w:szCs w:val="24"/>
        </w:rPr>
        <w:t>og</w:t>
      </w:r>
      <w:r w:rsidR="00D1776F">
        <w:rPr>
          <w:sz w:val="24"/>
          <w:szCs w:val="24"/>
        </w:rPr>
        <w:t xml:space="preserve"> </w:t>
      </w:r>
      <w:r w:rsidR="003874B7">
        <w:rPr>
          <w:sz w:val="24"/>
          <w:szCs w:val="24"/>
        </w:rPr>
        <w:t>fullskalatest</w:t>
      </w:r>
      <w:r w:rsidR="00B47632">
        <w:rPr>
          <w:sz w:val="24"/>
          <w:szCs w:val="24"/>
        </w:rPr>
        <w:t>er</w:t>
      </w:r>
      <w:r w:rsidR="003874B7">
        <w:rPr>
          <w:sz w:val="24"/>
          <w:szCs w:val="24"/>
        </w:rPr>
        <w:t xml:space="preserve">. </w:t>
      </w:r>
      <w:r w:rsidR="00C37ECF">
        <w:rPr>
          <w:sz w:val="24"/>
          <w:szCs w:val="24"/>
        </w:rPr>
        <w:t>F</w:t>
      </w:r>
      <w:r w:rsidR="00815F1A">
        <w:rPr>
          <w:sz w:val="24"/>
          <w:szCs w:val="24"/>
        </w:rPr>
        <w:t xml:space="preserve">remdriftsplan </w:t>
      </w:r>
      <w:r w:rsidR="00C37ECF">
        <w:rPr>
          <w:sz w:val="24"/>
          <w:szCs w:val="24"/>
        </w:rPr>
        <w:t xml:space="preserve">kan </w:t>
      </w:r>
      <w:r w:rsidR="00D1776F">
        <w:rPr>
          <w:sz w:val="24"/>
          <w:szCs w:val="24"/>
        </w:rPr>
        <w:t xml:space="preserve">brukes som </w:t>
      </w:r>
      <w:r w:rsidR="00D1776F">
        <w:rPr>
          <w:sz w:val="24"/>
          <w:szCs w:val="24"/>
        </w:rPr>
        <w:lastRenderedPageBreak/>
        <w:t xml:space="preserve">verktøy til å verifisere at sluttleveransene </w:t>
      </w:r>
      <w:r w:rsidR="00C37ECF">
        <w:rPr>
          <w:sz w:val="24"/>
          <w:szCs w:val="24"/>
        </w:rPr>
        <w:t xml:space="preserve">leveres </w:t>
      </w:r>
      <w:r w:rsidR="00B71948">
        <w:rPr>
          <w:sz w:val="24"/>
          <w:szCs w:val="24"/>
        </w:rPr>
        <w:t xml:space="preserve">til </w:t>
      </w:r>
      <w:r w:rsidR="00C37ECF">
        <w:rPr>
          <w:sz w:val="24"/>
          <w:szCs w:val="24"/>
        </w:rPr>
        <w:t>rett</w:t>
      </w:r>
      <w:r w:rsidR="00770488">
        <w:rPr>
          <w:sz w:val="24"/>
          <w:szCs w:val="24"/>
        </w:rPr>
        <w:t xml:space="preserve"> </w:t>
      </w:r>
      <w:r w:rsidR="003874B7">
        <w:rPr>
          <w:sz w:val="24"/>
          <w:szCs w:val="24"/>
        </w:rPr>
        <w:t>tid</w:t>
      </w:r>
      <w:r w:rsidR="00D1776F">
        <w:rPr>
          <w:sz w:val="24"/>
          <w:szCs w:val="24"/>
        </w:rPr>
        <w:t xml:space="preserve">. </w:t>
      </w:r>
      <w:r w:rsidR="003874B7">
        <w:rPr>
          <w:sz w:val="24"/>
          <w:szCs w:val="24"/>
        </w:rPr>
        <w:t>Etter overtakelse settes det krav til entreprenør om 1. års prøvedrift. Etter gjennomført prøvedrift må entreprenør dokumentere et feilfritt anlegg.</w:t>
      </w:r>
    </w:p>
    <w:p w:rsidR="00AE0097" w:rsidRDefault="003874B7" w:rsidP="00046B8A">
      <w:pPr>
        <w:spacing w:after="0"/>
        <w:rPr>
          <w:sz w:val="24"/>
          <w:szCs w:val="24"/>
        </w:rPr>
      </w:pPr>
      <w:r>
        <w:rPr>
          <w:sz w:val="24"/>
          <w:szCs w:val="24"/>
        </w:rPr>
        <w:t>Rådhusprosjektet p</w:t>
      </w:r>
      <w:r w:rsidR="00933A0F">
        <w:rPr>
          <w:sz w:val="24"/>
          <w:szCs w:val="24"/>
        </w:rPr>
        <w:t xml:space="preserve">lanlegger å følge </w:t>
      </w:r>
      <w:r w:rsidR="00AE0097">
        <w:rPr>
          <w:sz w:val="24"/>
          <w:szCs w:val="24"/>
        </w:rPr>
        <w:t>samme</w:t>
      </w:r>
      <w:r w:rsidR="00933A0F">
        <w:rPr>
          <w:sz w:val="24"/>
          <w:szCs w:val="24"/>
        </w:rPr>
        <w:t xml:space="preserve"> rutiner </w:t>
      </w:r>
      <w:r w:rsidR="001A23C9">
        <w:rPr>
          <w:sz w:val="24"/>
          <w:szCs w:val="24"/>
        </w:rPr>
        <w:t>som er etablert for investeringsprosjekt</w:t>
      </w:r>
      <w:r w:rsidR="00B776BA">
        <w:rPr>
          <w:sz w:val="24"/>
          <w:szCs w:val="24"/>
        </w:rPr>
        <w:t xml:space="preserve"> i regi av Sandnes Eiendomsselskap KF,</w:t>
      </w:r>
      <w:r w:rsidR="001A23C9">
        <w:rPr>
          <w:sz w:val="24"/>
          <w:szCs w:val="24"/>
        </w:rPr>
        <w:t xml:space="preserve"> </w:t>
      </w:r>
      <w:r w:rsidR="00933A0F">
        <w:rPr>
          <w:sz w:val="24"/>
          <w:szCs w:val="24"/>
        </w:rPr>
        <w:t xml:space="preserve">men </w:t>
      </w:r>
      <w:r w:rsidR="001F1902">
        <w:rPr>
          <w:sz w:val="24"/>
          <w:szCs w:val="24"/>
        </w:rPr>
        <w:t xml:space="preserve">en </w:t>
      </w:r>
      <w:r w:rsidR="00AE0097">
        <w:rPr>
          <w:sz w:val="24"/>
          <w:szCs w:val="24"/>
        </w:rPr>
        <w:t>vil</w:t>
      </w:r>
      <w:r w:rsidR="00933A0F">
        <w:rPr>
          <w:sz w:val="24"/>
          <w:szCs w:val="24"/>
        </w:rPr>
        <w:t xml:space="preserve"> samtidig </w:t>
      </w:r>
      <w:r w:rsidR="00AE0097">
        <w:rPr>
          <w:sz w:val="24"/>
          <w:szCs w:val="24"/>
        </w:rPr>
        <w:t>evaluere</w:t>
      </w:r>
      <w:r w:rsidR="00B776BA">
        <w:rPr>
          <w:sz w:val="24"/>
          <w:szCs w:val="24"/>
        </w:rPr>
        <w:t xml:space="preserve"> erfaringer fra de etablerte rutinene</w:t>
      </w:r>
      <w:r w:rsidR="00B47632">
        <w:rPr>
          <w:sz w:val="24"/>
          <w:szCs w:val="24"/>
        </w:rPr>
        <w:t xml:space="preserve"> i selskapet og fra andre eksterne byggherrer</w:t>
      </w:r>
      <w:r w:rsidR="00B776BA">
        <w:rPr>
          <w:sz w:val="24"/>
          <w:szCs w:val="24"/>
        </w:rPr>
        <w:t xml:space="preserve"> og se på eventuell forbedring</w:t>
      </w:r>
      <w:r w:rsidR="00B47632">
        <w:rPr>
          <w:sz w:val="24"/>
          <w:szCs w:val="24"/>
        </w:rPr>
        <w:t xml:space="preserve"> av disse</w:t>
      </w:r>
      <w:r w:rsidR="001F1902">
        <w:rPr>
          <w:sz w:val="24"/>
          <w:szCs w:val="24"/>
        </w:rPr>
        <w:t xml:space="preserve"> i tiden fremover</w:t>
      </w:r>
      <w:r w:rsidR="00933A0F">
        <w:rPr>
          <w:sz w:val="24"/>
          <w:szCs w:val="24"/>
        </w:rPr>
        <w:t>. Her kan det ses</w:t>
      </w:r>
      <w:r w:rsidR="00B71948">
        <w:rPr>
          <w:sz w:val="24"/>
          <w:szCs w:val="24"/>
        </w:rPr>
        <w:t xml:space="preserve"> på erfaringer fra blant annet U</w:t>
      </w:r>
      <w:r w:rsidR="00933A0F">
        <w:rPr>
          <w:sz w:val="24"/>
          <w:szCs w:val="24"/>
        </w:rPr>
        <w:t xml:space="preserve">ndervisningsbygg som </w:t>
      </w:r>
      <w:r w:rsidR="00B71948">
        <w:rPr>
          <w:sz w:val="24"/>
          <w:szCs w:val="24"/>
        </w:rPr>
        <w:t xml:space="preserve">i sluttfase </w:t>
      </w:r>
      <w:r w:rsidR="00933A0F">
        <w:rPr>
          <w:sz w:val="24"/>
          <w:szCs w:val="24"/>
        </w:rPr>
        <w:t xml:space="preserve">bruker konsulenter med spesialkompetanse </w:t>
      </w:r>
      <w:r w:rsidR="00AE0097">
        <w:rPr>
          <w:sz w:val="24"/>
          <w:szCs w:val="24"/>
        </w:rPr>
        <w:t xml:space="preserve">på tekniske fag </w:t>
      </w:r>
      <w:r w:rsidR="001A23C9">
        <w:rPr>
          <w:sz w:val="24"/>
          <w:szCs w:val="24"/>
        </w:rPr>
        <w:t>til</w:t>
      </w:r>
      <w:r w:rsidR="00AE0097">
        <w:rPr>
          <w:sz w:val="24"/>
          <w:szCs w:val="24"/>
        </w:rPr>
        <w:t xml:space="preserve"> å</w:t>
      </w:r>
      <w:r w:rsidR="00933A0F">
        <w:rPr>
          <w:sz w:val="24"/>
          <w:szCs w:val="24"/>
        </w:rPr>
        <w:t xml:space="preserve"> verifisere dokumentasjon og funksjonsbeskrivelser. </w:t>
      </w:r>
      <w:r w:rsidR="00AE0097">
        <w:rPr>
          <w:sz w:val="24"/>
          <w:szCs w:val="24"/>
        </w:rPr>
        <w:t>I tillegg gjør Undervisningsbygg integrasjonstester</w:t>
      </w:r>
      <w:r w:rsidR="00B47632">
        <w:rPr>
          <w:sz w:val="24"/>
          <w:szCs w:val="24"/>
        </w:rPr>
        <w:t xml:space="preserve"> (fullskalatester)</w:t>
      </w:r>
      <w:r w:rsidR="00AE0097">
        <w:rPr>
          <w:sz w:val="24"/>
          <w:szCs w:val="24"/>
        </w:rPr>
        <w:t xml:space="preserve"> for brann/sikkerhet</w:t>
      </w:r>
      <w:r w:rsidR="00B71948">
        <w:rPr>
          <w:sz w:val="24"/>
          <w:szCs w:val="24"/>
        </w:rPr>
        <w:t xml:space="preserve"> hvor det lages</w:t>
      </w:r>
      <w:r w:rsidR="00815F1A">
        <w:rPr>
          <w:sz w:val="24"/>
          <w:szCs w:val="24"/>
        </w:rPr>
        <w:t xml:space="preserve"> ulike senario. </w:t>
      </w:r>
      <w:r w:rsidR="00B47632">
        <w:rPr>
          <w:sz w:val="24"/>
          <w:szCs w:val="24"/>
        </w:rPr>
        <w:t>Fullskalatestene</w:t>
      </w:r>
      <w:r w:rsidR="00AE0097">
        <w:rPr>
          <w:sz w:val="24"/>
          <w:szCs w:val="24"/>
        </w:rPr>
        <w:t xml:space="preserve"> blir igjen ikke godkjent før </w:t>
      </w:r>
      <w:r w:rsidR="00815F1A">
        <w:rPr>
          <w:sz w:val="24"/>
          <w:szCs w:val="24"/>
        </w:rPr>
        <w:t>disse gjennomføres feilfritt</w:t>
      </w:r>
      <w:r w:rsidR="00AE0097">
        <w:rPr>
          <w:sz w:val="24"/>
          <w:szCs w:val="24"/>
        </w:rPr>
        <w:t>.</w:t>
      </w:r>
    </w:p>
    <w:p w:rsidR="003874B7" w:rsidRDefault="00AE0097" w:rsidP="00046B8A">
      <w:pPr>
        <w:spacing w:after="0"/>
        <w:rPr>
          <w:sz w:val="24"/>
          <w:szCs w:val="24"/>
        </w:rPr>
      </w:pPr>
      <w:r>
        <w:rPr>
          <w:sz w:val="24"/>
          <w:szCs w:val="24"/>
        </w:rPr>
        <w:t>Forslag om at vinner av anbud gis opsjon på å påta seg drift og vedlikeholdsansvar for sin del i 5. år</w:t>
      </w:r>
      <w:r w:rsidR="00B71948">
        <w:rPr>
          <w:sz w:val="24"/>
          <w:szCs w:val="24"/>
        </w:rPr>
        <w:t>,</w:t>
      </w:r>
      <w:r>
        <w:rPr>
          <w:sz w:val="24"/>
          <w:szCs w:val="24"/>
        </w:rPr>
        <w:t xml:space="preserve"> kan være et middel for å oppnå bedre grep </w:t>
      </w:r>
      <w:r w:rsidR="00C411F1">
        <w:rPr>
          <w:sz w:val="24"/>
          <w:szCs w:val="24"/>
        </w:rPr>
        <w:t xml:space="preserve">om kvalitet. </w:t>
      </w:r>
      <w:r w:rsidR="001A23C9">
        <w:rPr>
          <w:sz w:val="24"/>
          <w:szCs w:val="24"/>
        </w:rPr>
        <w:t>Eksempelvis kan det i</w:t>
      </w:r>
      <w:r w:rsidR="00A2377F">
        <w:rPr>
          <w:sz w:val="24"/>
          <w:szCs w:val="24"/>
        </w:rPr>
        <w:t xml:space="preserve"> tillegg til krav om </w:t>
      </w:r>
      <w:r w:rsidR="00815F1A">
        <w:rPr>
          <w:sz w:val="24"/>
          <w:szCs w:val="24"/>
        </w:rPr>
        <w:t>1</w:t>
      </w:r>
      <w:r w:rsidR="001A23C9">
        <w:rPr>
          <w:sz w:val="24"/>
          <w:szCs w:val="24"/>
        </w:rPr>
        <w:t xml:space="preserve"> års prøvedrift, bli gitt </w:t>
      </w:r>
      <w:r w:rsidR="00C411F1">
        <w:rPr>
          <w:sz w:val="24"/>
          <w:szCs w:val="24"/>
        </w:rPr>
        <w:t xml:space="preserve">opsjon </w:t>
      </w:r>
      <w:r w:rsidR="00815F1A">
        <w:rPr>
          <w:sz w:val="24"/>
          <w:szCs w:val="24"/>
        </w:rPr>
        <w:t xml:space="preserve">på </w:t>
      </w:r>
      <w:r w:rsidR="00B71948">
        <w:rPr>
          <w:sz w:val="24"/>
          <w:szCs w:val="24"/>
        </w:rPr>
        <w:t>2 års drift</w:t>
      </w:r>
      <w:r w:rsidR="00351D4F">
        <w:rPr>
          <w:sz w:val="24"/>
          <w:szCs w:val="24"/>
        </w:rPr>
        <w:t>-</w:t>
      </w:r>
      <w:r w:rsidR="00B71948">
        <w:rPr>
          <w:sz w:val="24"/>
          <w:szCs w:val="24"/>
        </w:rPr>
        <w:t xml:space="preserve"> og vedlikeholdsansvar </w:t>
      </w:r>
      <w:r w:rsidR="00C411F1">
        <w:rPr>
          <w:sz w:val="24"/>
          <w:szCs w:val="24"/>
        </w:rPr>
        <w:t>med 1 + 1 års forlengelse – til sammen 5 år.</w:t>
      </w:r>
      <w:r w:rsidR="00546E9D">
        <w:rPr>
          <w:sz w:val="24"/>
          <w:szCs w:val="24"/>
        </w:rPr>
        <w:t xml:space="preserve"> </w:t>
      </w:r>
      <w:r w:rsidR="00770488">
        <w:rPr>
          <w:sz w:val="24"/>
          <w:szCs w:val="24"/>
        </w:rPr>
        <w:t>Ett negativt element</w:t>
      </w:r>
      <w:r w:rsidR="00546E9D">
        <w:rPr>
          <w:sz w:val="24"/>
          <w:szCs w:val="24"/>
        </w:rPr>
        <w:t xml:space="preserve"> </w:t>
      </w:r>
      <w:r w:rsidR="00A2377F">
        <w:rPr>
          <w:sz w:val="24"/>
          <w:szCs w:val="24"/>
        </w:rPr>
        <w:t>kan være</w:t>
      </w:r>
      <w:r w:rsidR="00082315">
        <w:rPr>
          <w:sz w:val="24"/>
          <w:szCs w:val="24"/>
        </w:rPr>
        <w:t xml:space="preserve"> </w:t>
      </w:r>
      <w:r w:rsidR="00C731E3">
        <w:rPr>
          <w:sz w:val="24"/>
          <w:szCs w:val="24"/>
        </w:rPr>
        <w:t xml:space="preserve">at </w:t>
      </w:r>
      <w:r w:rsidR="00082315">
        <w:rPr>
          <w:sz w:val="24"/>
          <w:szCs w:val="24"/>
        </w:rPr>
        <w:t>kostnadsver</w:t>
      </w:r>
      <w:r w:rsidR="00B71948">
        <w:rPr>
          <w:sz w:val="24"/>
          <w:szCs w:val="24"/>
        </w:rPr>
        <w:t>d</w:t>
      </w:r>
      <w:r w:rsidR="00082315">
        <w:rPr>
          <w:sz w:val="24"/>
          <w:szCs w:val="24"/>
        </w:rPr>
        <w:t>i</w:t>
      </w:r>
      <w:r w:rsidR="00B71948">
        <w:rPr>
          <w:sz w:val="24"/>
          <w:szCs w:val="24"/>
        </w:rPr>
        <w:t xml:space="preserve"> av </w:t>
      </w:r>
      <w:r w:rsidR="00546E9D">
        <w:rPr>
          <w:sz w:val="24"/>
          <w:szCs w:val="24"/>
        </w:rPr>
        <w:t xml:space="preserve">opsjon </w:t>
      </w:r>
      <w:r w:rsidR="00FF51C5">
        <w:rPr>
          <w:sz w:val="24"/>
          <w:szCs w:val="24"/>
        </w:rPr>
        <w:t xml:space="preserve">kan bli </w:t>
      </w:r>
      <w:r w:rsidR="00B47632">
        <w:rPr>
          <w:sz w:val="24"/>
          <w:szCs w:val="24"/>
        </w:rPr>
        <w:t>konkurranse</w:t>
      </w:r>
      <w:r w:rsidR="00546E9D">
        <w:rPr>
          <w:sz w:val="24"/>
          <w:szCs w:val="24"/>
        </w:rPr>
        <w:t>avgjørende</w:t>
      </w:r>
      <w:r w:rsidR="00D53C3A">
        <w:rPr>
          <w:sz w:val="24"/>
          <w:szCs w:val="24"/>
        </w:rPr>
        <w:t xml:space="preserve"> samtidig som denne høyst sannsynlig vil være knyttet mot en underentreprenørs tjenester og ikke total-/generalentreprenør.</w:t>
      </w:r>
    </w:p>
    <w:p w:rsidR="00C731E3" w:rsidRDefault="00C731E3" w:rsidP="00046B8A">
      <w:pPr>
        <w:spacing w:after="0"/>
        <w:rPr>
          <w:sz w:val="24"/>
          <w:szCs w:val="24"/>
        </w:rPr>
      </w:pPr>
    </w:p>
    <w:p w:rsidR="00351D4F" w:rsidRDefault="00C731E3" w:rsidP="00C45711">
      <w:pPr>
        <w:rPr>
          <w:sz w:val="24"/>
          <w:szCs w:val="24"/>
        </w:rPr>
      </w:pPr>
      <w:r>
        <w:rPr>
          <w:sz w:val="24"/>
          <w:szCs w:val="24"/>
        </w:rPr>
        <w:t>Daglig leder anbefaler at de etablerte rutiner for investeringsprosjektet i regi av Sandnes Eiendomsselskap KF som går på overtakelse, drift og vedlikeholdsansvar også følges i dette prosjektet, men</w:t>
      </w:r>
      <w:r w:rsidR="00C45711">
        <w:rPr>
          <w:sz w:val="24"/>
          <w:szCs w:val="24"/>
        </w:rPr>
        <w:t xml:space="preserve"> at rutinene </w:t>
      </w:r>
      <w:r>
        <w:rPr>
          <w:sz w:val="24"/>
          <w:szCs w:val="24"/>
        </w:rPr>
        <w:t xml:space="preserve">evalueres for å oppnå økt kvalitet på </w:t>
      </w:r>
      <w:r w:rsidR="00C45711">
        <w:rPr>
          <w:sz w:val="24"/>
          <w:szCs w:val="24"/>
        </w:rPr>
        <w:t xml:space="preserve">de </w:t>
      </w:r>
      <w:r>
        <w:rPr>
          <w:sz w:val="24"/>
          <w:szCs w:val="24"/>
        </w:rPr>
        <w:t>tekniske anlegg</w:t>
      </w:r>
      <w:r w:rsidR="00C45711">
        <w:rPr>
          <w:sz w:val="24"/>
          <w:szCs w:val="24"/>
        </w:rPr>
        <w:t>ene</w:t>
      </w:r>
      <w:r>
        <w:rPr>
          <w:sz w:val="24"/>
          <w:szCs w:val="24"/>
        </w:rPr>
        <w:t xml:space="preserve"> i </w:t>
      </w:r>
      <w:r w:rsidR="00C45711">
        <w:rPr>
          <w:sz w:val="24"/>
          <w:szCs w:val="24"/>
        </w:rPr>
        <w:t xml:space="preserve">kommunen bygg, også i det </w:t>
      </w:r>
      <w:r>
        <w:rPr>
          <w:sz w:val="24"/>
          <w:szCs w:val="24"/>
        </w:rPr>
        <w:t>ny</w:t>
      </w:r>
      <w:r w:rsidR="00C45711">
        <w:rPr>
          <w:sz w:val="24"/>
          <w:szCs w:val="24"/>
        </w:rPr>
        <w:t>e</w:t>
      </w:r>
      <w:r>
        <w:rPr>
          <w:sz w:val="24"/>
          <w:szCs w:val="24"/>
        </w:rPr>
        <w:t xml:space="preserve"> rådhus</w:t>
      </w:r>
      <w:r w:rsidR="00C45711">
        <w:rPr>
          <w:sz w:val="24"/>
          <w:szCs w:val="24"/>
        </w:rPr>
        <w:t>et</w:t>
      </w:r>
      <w:r>
        <w:rPr>
          <w:sz w:val="24"/>
          <w:szCs w:val="24"/>
        </w:rPr>
        <w:t xml:space="preserve">. </w:t>
      </w:r>
      <w:r w:rsidR="00891536">
        <w:rPr>
          <w:sz w:val="24"/>
          <w:szCs w:val="24"/>
        </w:rPr>
        <w:t>Ferdigstilling av ny byggherrehåndbok vil ventelig være klar i løpet av vinteren 2016 og overnevnte vil inngå der.</w:t>
      </w:r>
      <w:r w:rsidR="00D53C3A">
        <w:rPr>
          <w:sz w:val="24"/>
          <w:szCs w:val="24"/>
        </w:rPr>
        <w:t xml:space="preserve"> </w:t>
      </w:r>
    </w:p>
    <w:p w:rsidR="00C411F1" w:rsidRPr="00845681" w:rsidRDefault="00351D4F" w:rsidP="00046B8A">
      <w:pPr>
        <w:spacing w:after="0"/>
        <w:rPr>
          <w:sz w:val="24"/>
          <w:szCs w:val="24"/>
        </w:rPr>
      </w:pPr>
      <w:r>
        <w:rPr>
          <w:sz w:val="24"/>
          <w:szCs w:val="24"/>
        </w:rPr>
        <w:t>Når det gjelder den ø</w:t>
      </w:r>
      <w:r w:rsidR="00C411F1">
        <w:rPr>
          <w:sz w:val="24"/>
          <w:szCs w:val="24"/>
        </w:rPr>
        <w:t>konomisk</w:t>
      </w:r>
      <w:r>
        <w:rPr>
          <w:sz w:val="24"/>
          <w:szCs w:val="24"/>
        </w:rPr>
        <w:t>e</w:t>
      </w:r>
      <w:r w:rsidR="00C411F1">
        <w:rPr>
          <w:sz w:val="24"/>
          <w:szCs w:val="24"/>
        </w:rPr>
        <w:t xml:space="preserve"> konsekvens </w:t>
      </w:r>
      <w:r>
        <w:rPr>
          <w:sz w:val="24"/>
          <w:szCs w:val="24"/>
        </w:rPr>
        <w:t xml:space="preserve">av at vinner av anbud gis opsjon på å påta seg drift og vedlikeholdsansvar for sin del i 5. år </w:t>
      </w:r>
      <w:r w:rsidR="00C411F1">
        <w:rPr>
          <w:sz w:val="24"/>
          <w:szCs w:val="24"/>
        </w:rPr>
        <w:t xml:space="preserve">kan ikke vurderes før </w:t>
      </w:r>
      <w:r w:rsidR="001F1902">
        <w:rPr>
          <w:sz w:val="24"/>
          <w:szCs w:val="24"/>
        </w:rPr>
        <w:t xml:space="preserve">evt. </w:t>
      </w:r>
      <w:r w:rsidR="00C411F1">
        <w:rPr>
          <w:sz w:val="24"/>
          <w:szCs w:val="24"/>
        </w:rPr>
        <w:t>p</w:t>
      </w:r>
      <w:r>
        <w:rPr>
          <w:sz w:val="24"/>
          <w:szCs w:val="24"/>
        </w:rPr>
        <w:t>ris på opsjon foreligger.</w:t>
      </w:r>
    </w:p>
    <w:p w:rsidR="006123FB" w:rsidRDefault="006123FB">
      <w:pPr>
        <w:rPr>
          <w:sz w:val="24"/>
          <w:szCs w:val="24"/>
        </w:rPr>
      </w:pPr>
    </w:p>
    <w:p w:rsidR="001F1902" w:rsidRDefault="001F1902">
      <w:pPr>
        <w:rPr>
          <w:sz w:val="24"/>
          <w:szCs w:val="24"/>
        </w:rPr>
      </w:pPr>
    </w:p>
    <w:p w:rsidR="006123FB" w:rsidRDefault="001F1902" w:rsidP="00B30221">
      <w:pPr>
        <w:rPr>
          <w:sz w:val="24"/>
          <w:szCs w:val="24"/>
        </w:rPr>
      </w:pPr>
      <w:r>
        <w:rPr>
          <w:sz w:val="24"/>
          <w:szCs w:val="24"/>
        </w:rPr>
        <w:t xml:space="preserve">For øvrig vises det til styresak 158 – 15 med vedtak som bakgrunn for fremleggelse av denne sak. </w:t>
      </w:r>
    </w:p>
    <w:p w:rsidR="00481537" w:rsidRDefault="00481537" w:rsidP="00B30221">
      <w:pPr>
        <w:rPr>
          <w:sz w:val="24"/>
          <w:szCs w:val="24"/>
        </w:rPr>
      </w:pPr>
    </w:p>
    <w:p w:rsidR="0068300B" w:rsidRDefault="000835D0" w:rsidP="005A4DBB">
      <w:pPr>
        <w:rPr>
          <w:b/>
          <w:sz w:val="28"/>
          <w:szCs w:val="28"/>
          <w:u w:val="single"/>
        </w:rPr>
      </w:pPr>
      <w:r w:rsidRPr="00156569">
        <w:rPr>
          <w:b/>
          <w:sz w:val="28"/>
          <w:szCs w:val="28"/>
          <w:u w:val="single"/>
        </w:rPr>
        <w:t>Forslag til vedtak</w:t>
      </w:r>
      <w:r w:rsidRPr="006123FB">
        <w:rPr>
          <w:b/>
          <w:sz w:val="28"/>
          <w:szCs w:val="28"/>
          <w:u w:val="single"/>
        </w:rPr>
        <w:t>:</w:t>
      </w:r>
    </w:p>
    <w:p w:rsidR="00E158E3" w:rsidRPr="00F86A41" w:rsidRDefault="00E158E3" w:rsidP="00E158E3">
      <w:pPr>
        <w:pStyle w:val="Listeavsnitt"/>
        <w:numPr>
          <w:ilvl w:val="0"/>
          <w:numId w:val="19"/>
        </w:numPr>
        <w:rPr>
          <w:sz w:val="24"/>
          <w:szCs w:val="24"/>
        </w:rPr>
      </w:pPr>
      <w:r w:rsidRPr="00F86A41">
        <w:rPr>
          <w:sz w:val="24"/>
          <w:szCs w:val="24"/>
        </w:rPr>
        <w:t>Styret tar brukermedvirkningsrapporten til orientering</w:t>
      </w:r>
      <w:r>
        <w:rPr>
          <w:sz w:val="24"/>
          <w:szCs w:val="24"/>
        </w:rPr>
        <w:t>.</w:t>
      </w:r>
    </w:p>
    <w:p w:rsidR="00E158E3" w:rsidRPr="00F86A41" w:rsidRDefault="00E158E3" w:rsidP="00E158E3">
      <w:pPr>
        <w:pStyle w:val="Listeavsnitt"/>
        <w:numPr>
          <w:ilvl w:val="0"/>
          <w:numId w:val="19"/>
        </w:numPr>
        <w:spacing w:after="0"/>
        <w:rPr>
          <w:sz w:val="24"/>
          <w:szCs w:val="24"/>
        </w:rPr>
      </w:pPr>
      <w:r>
        <w:rPr>
          <w:sz w:val="24"/>
          <w:szCs w:val="24"/>
        </w:rPr>
        <w:t>Styret godkjenner s</w:t>
      </w:r>
      <w:r w:rsidRPr="00F86A41">
        <w:rPr>
          <w:sz w:val="24"/>
          <w:szCs w:val="24"/>
        </w:rPr>
        <w:t>kisseprosjektrapporten</w:t>
      </w:r>
      <w:r>
        <w:rPr>
          <w:sz w:val="24"/>
          <w:szCs w:val="24"/>
        </w:rPr>
        <w:t xml:space="preserve">. Det presiseres at fasade mot sør </w:t>
      </w:r>
      <w:r w:rsidR="003F029F">
        <w:rPr>
          <w:sz w:val="24"/>
          <w:szCs w:val="24"/>
        </w:rPr>
        <w:t xml:space="preserve">skal </w:t>
      </w:r>
      <w:r>
        <w:rPr>
          <w:sz w:val="24"/>
          <w:szCs w:val="24"/>
        </w:rPr>
        <w:t>åpnes i henhold til styrevedtak i sak 125 – 15 og at dette legges frem for styret senest i forbindelse med godkjenning av forprosjektet.</w:t>
      </w:r>
    </w:p>
    <w:p w:rsidR="00E158E3" w:rsidRDefault="00E158E3" w:rsidP="00E158E3">
      <w:pPr>
        <w:pStyle w:val="Listeavsnitt"/>
        <w:numPr>
          <w:ilvl w:val="0"/>
          <w:numId w:val="19"/>
        </w:numPr>
        <w:spacing w:after="0"/>
        <w:rPr>
          <w:sz w:val="24"/>
          <w:szCs w:val="24"/>
        </w:rPr>
      </w:pPr>
      <w:r w:rsidRPr="00F86A41">
        <w:rPr>
          <w:sz w:val="24"/>
          <w:szCs w:val="24"/>
        </w:rPr>
        <w:lastRenderedPageBreak/>
        <w:t xml:space="preserve">Styret </w:t>
      </w:r>
      <w:r>
        <w:rPr>
          <w:sz w:val="24"/>
          <w:szCs w:val="24"/>
        </w:rPr>
        <w:t>anbefaler</w:t>
      </w:r>
      <w:r w:rsidRPr="00F86A41">
        <w:rPr>
          <w:sz w:val="24"/>
          <w:szCs w:val="24"/>
        </w:rPr>
        <w:t xml:space="preserve"> at prosjektet gjennomføres som generalentreprise</w:t>
      </w:r>
      <w:r>
        <w:rPr>
          <w:sz w:val="24"/>
          <w:szCs w:val="24"/>
        </w:rPr>
        <w:t>. Bystyret tar den endelige avgjørelsen av entrepriseform.</w:t>
      </w:r>
    </w:p>
    <w:p w:rsidR="00E158E3" w:rsidRPr="00F86A41" w:rsidRDefault="003F029F" w:rsidP="00E158E3">
      <w:pPr>
        <w:pStyle w:val="Listeavsnitt"/>
        <w:numPr>
          <w:ilvl w:val="0"/>
          <w:numId w:val="19"/>
        </w:numPr>
        <w:spacing w:after="0"/>
        <w:rPr>
          <w:sz w:val="24"/>
          <w:szCs w:val="24"/>
        </w:rPr>
      </w:pPr>
      <w:r>
        <w:rPr>
          <w:sz w:val="24"/>
          <w:szCs w:val="24"/>
        </w:rPr>
        <w:t>For oppfølging av entrepriser forventes dette å fremgå av ny byggehåndbok for selskapet. Denne er berammet fremlagt for styret for godkjenning vinteren 2016</w:t>
      </w:r>
      <w:r w:rsidR="00E158E3">
        <w:rPr>
          <w:sz w:val="24"/>
          <w:szCs w:val="24"/>
        </w:rPr>
        <w:t xml:space="preserve"> </w:t>
      </w:r>
    </w:p>
    <w:p w:rsidR="00E158E3" w:rsidRPr="00F86A41" w:rsidRDefault="00E158E3" w:rsidP="00E158E3">
      <w:pPr>
        <w:pStyle w:val="Listeavsnitt"/>
        <w:numPr>
          <w:ilvl w:val="0"/>
          <w:numId w:val="19"/>
        </w:numPr>
        <w:spacing w:after="0"/>
        <w:rPr>
          <w:sz w:val="24"/>
          <w:szCs w:val="24"/>
        </w:rPr>
      </w:pPr>
      <w:r>
        <w:rPr>
          <w:sz w:val="24"/>
          <w:szCs w:val="24"/>
        </w:rPr>
        <w:t>Saken oversendes rådmannen for videre oppfølging</w:t>
      </w:r>
    </w:p>
    <w:p w:rsidR="002645C6" w:rsidRDefault="002645C6" w:rsidP="005A4DBB">
      <w:pPr>
        <w:rPr>
          <w:sz w:val="24"/>
          <w:szCs w:val="24"/>
        </w:rPr>
      </w:pPr>
    </w:p>
    <w:p w:rsidR="001F1902" w:rsidRDefault="001F1902" w:rsidP="005A4DBB">
      <w:pPr>
        <w:rPr>
          <w:sz w:val="24"/>
          <w:szCs w:val="24"/>
        </w:rPr>
      </w:pPr>
    </w:p>
    <w:p w:rsidR="006908BF" w:rsidRPr="00D411C1" w:rsidRDefault="00156569" w:rsidP="005A4DBB">
      <w:pPr>
        <w:rPr>
          <w:sz w:val="24"/>
          <w:szCs w:val="24"/>
        </w:rPr>
      </w:pPr>
      <w:r w:rsidRPr="00D411C1">
        <w:rPr>
          <w:sz w:val="24"/>
          <w:szCs w:val="24"/>
        </w:rPr>
        <w:t xml:space="preserve">Sandnes Eiendomsselskap KF, </w:t>
      </w:r>
      <w:r w:rsidR="00FF51C5">
        <w:rPr>
          <w:sz w:val="24"/>
          <w:szCs w:val="24"/>
        </w:rPr>
        <w:t>0</w:t>
      </w:r>
      <w:r w:rsidR="003F029F">
        <w:rPr>
          <w:sz w:val="24"/>
          <w:szCs w:val="24"/>
        </w:rPr>
        <w:t>6</w:t>
      </w:r>
      <w:r w:rsidR="00797AE5">
        <w:rPr>
          <w:sz w:val="24"/>
          <w:szCs w:val="24"/>
        </w:rPr>
        <w:t>.12.</w:t>
      </w:r>
      <w:r w:rsidR="00C0211C" w:rsidRPr="00D411C1">
        <w:rPr>
          <w:sz w:val="24"/>
          <w:szCs w:val="24"/>
        </w:rPr>
        <w:t>2015</w:t>
      </w:r>
    </w:p>
    <w:p w:rsidR="001F1902" w:rsidRDefault="001F1902" w:rsidP="005A4DBB">
      <w:pPr>
        <w:rPr>
          <w:sz w:val="24"/>
          <w:szCs w:val="24"/>
        </w:rPr>
      </w:pPr>
    </w:p>
    <w:p w:rsidR="001F1902" w:rsidRDefault="001F1902" w:rsidP="005A4DBB">
      <w:pPr>
        <w:rPr>
          <w:sz w:val="24"/>
          <w:szCs w:val="24"/>
        </w:rPr>
      </w:pPr>
    </w:p>
    <w:p w:rsidR="00156569" w:rsidRPr="00D411C1" w:rsidRDefault="00156569" w:rsidP="005A4DBB">
      <w:pPr>
        <w:rPr>
          <w:sz w:val="24"/>
          <w:szCs w:val="24"/>
        </w:rPr>
      </w:pPr>
      <w:r w:rsidRPr="00D411C1">
        <w:rPr>
          <w:sz w:val="24"/>
          <w:szCs w:val="24"/>
        </w:rPr>
        <w:t>Torbjørn Sterri</w:t>
      </w:r>
    </w:p>
    <w:p w:rsidR="00097712" w:rsidRDefault="00156569" w:rsidP="005A4DBB">
      <w:pPr>
        <w:rPr>
          <w:sz w:val="24"/>
          <w:szCs w:val="24"/>
        </w:rPr>
      </w:pPr>
      <w:r w:rsidRPr="00D411C1">
        <w:rPr>
          <w:sz w:val="24"/>
          <w:szCs w:val="24"/>
        </w:rPr>
        <w:t>daglig leder</w:t>
      </w:r>
    </w:p>
    <w:p w:rsidR="00D411C1" w:rsidRPr="00D411C1" w:rsidRDefault="00D411C1" w:rsidP="005A4DBB">
      <w:pPr>
        <w:rPr>
          <w:sz w:val="24"/>
          <w:szCs w:val="24"/>
        </w:rPr>
      </w:pPr>
    </w:p>
    <w:p w:rsidR="002C2213" w:rsidRDefault="002C2213" w:rsidP="005A4DBB">
      <w:pPr>
        <w:rPr>
          <w:rFonts w:ascii="Times New Roman" w:hAnsi="Times New Roman" w:cs="Times New Roman"/>
          <w:b/>
          <w:sz w:val="24"/>
          <w:szCs w:val="24"/>
          <w:u w:val="single"/>
        </w:rPr>
      </w:pPr>
      <w:r w:rsidRPr="002C2213">
        <w:rPr>
          <w:rFonts w:ascii="Times New Roman" w:hAnsi="Times New Roman" w:cs="Times New Roman"/>
          <w:b/>
          <w:sz w:val="24"/>
          <w:szCs w:val="24"/>
          <w:u w:val="single"/>
        </w:rPr>
        <w:t>Vedlegg:</w:t>
      </w:r>
    </w:p>
    <w:p w:rsidR="00571F81" w:rsidRDefault="00481537" w:rsidP="003755C2">
      <w:pPr>
        <w:pStyle w:val="Listeavsnitt"/>
        <w:numPr>
          <w:ilvl w:val="0"/>
          <w:numId w:val="15"/>
        </w:numPr>
        <w:spacing w:after="0"/>
        <w:rPr>
          <w:sz w:val="24"/>
          <w:szCs w:val="24"/>
        </w:rPr>
      </w:pPr>
      <w:r>
        <w:rPr>
          <w:sz w:val="24"/>
          <w:szCs w:val="24"/>
        </w:rPr>
        <w:t>Uttalelse</w:t>
      </w:r>
      <w:r w:rsidR="00CB695B">
        <w:rPr>
          <w:sz w:val="24"/>
          <w:szCs w:val="24"/>
        </w:rPr>
        <w:t xml:space="preserve"> fra kommuneadvokaten.</w:t>
      </w:r>
    </w:p>
    <w:p w:rsidR="00A558BC" w:rsidRDefault="00A558BC" w:rsidP="00A558BC">
      <w:pPr>
        <w:pStyle w:val="Listeavsnitt"/>
        <w:numPr>
          <w:ilvl w:val="0"/>
          <w:numId w:val="15"/>
        </w:numPr>
        <w:spacing w:after="0"/>
        <w:rPr>
          <w:sz w:val="24"/>
          <w:szCs w:val="24"/>
        </w:rPr>
      </w:pPr>
      <w:r>
        <w:rPr>
          <w:sz w:val="24"/>
          <w:szCs w:val="24"/>
        </w:rPr>
        <w:t>Styrevedtak sak 158/15</w:t>
      </w:r>
    </w:p>
    <w:p w:rsidR="00A558BC" w:rsidRDefault="00A558BC" w:rsidP="00A558BC">
      <w:pPr>
        <w:pStyle w:val="Listeavsnitt"/>
        <w:numPr>
          <w:ilvl w:val="0"/>
          <w:numId w:val="15"/>
        </w:numPr>
        <w:spacing w:after="0"/>
        <w:rPr>
          <w:sz w:val="24"/>
          <w:szCs w:val="24"/>
        </w:rPr>
      </w:pPr>
      <w:r>
        <w:rPr>
          <w:sz w:val="24"/>
          <w:szCs w:val="24"/>
        </w:rPr>
        <w:t>Saksutredning, sak 158 - 15</w:t>
      </w:r>
    </w:p>
    <w:p w:rsidR="00970ECE" w:rsidRPr="00970ECE" w:rsidRDefault="00A558BC" w:rsidP="005C70F2">
      <w:pPr>
        <w:pStyle w:val="Listeavsnitt"/>
        <w:numPr>
          <w:ilvl w:val="0"/>
          <w:numId w:val="15"/>
        </w:numPr>
        <w:spacing w:after="0"/>
        <w:rPr>
          <w:sz w:val="24"/>
          <w:szCs w:val="24"/>
        </w:rPr>
      </w:pPr>
      <w:r w:rsidRPr="00970ECE">
        <w:rPr>
          <w:sz w:val="24"/>
          <w:szCs w:val="24"/>
        </w:rPr>
        <w:t>Vedlegg 1</w:t>
      </w:r>
      <w:r w:rsidR="00970ECE">
        <w:rPr>
          <w:sz w:val="24"/>
          <w:szCs w:val="24"/>
        </w:rPr>
        <w:t xml:space="preserve"> i </w:t>
      </w:r>
      <w:r w:rsidRPr="00970ECE">
        <w:rPr>
          <w:sz w:val="24"/>
          <w:szCs w:val="24"/>
        </w:rPr>
        <w:t xml:space="preserve">styresak 158 – 15, </w:t>
      </w:r>
      <w:r w:rsidR="00970ECE" w:rsidRPr="00970ECE">
        <w:rPr>
          <w:sz w:val="24"/>
          <w:szCs w:val="24"/>
        </w:rPr>
        <w:t>Overordnet plan</w:t>
      </w:r>
    </w:p>
    <w:p w:rsidR="00970ECE" w:rsidRDefault="00970ECE" w:rsidP="00970ECE">
      <w:pPr>
        <w:pStyle w:val="Listeavsnitt"/>
        <w:numPr>
          <w:ilvl w:val="0"/>
          <w:numId w:val="15"/>
        </w:numPr>
        <w:spacing w:after="0"/>
        <w:rPr>
          <w:sz w:val="24"/>
          <w:szCs w:val="24"/>
        </w:rPr>
      </w:pPr>
      <w:r>
        <w:rPr>
          <w:sz w:val="24"/>
          <w:szCs w:val="24"/>
        </w:rPr>
        <w:t>Vedlegg 2 i styresak 158 – 15, Brukermedvirkningsrapport</w:t>
      </w:r>
    </w:p>
    <w:p w:rsidR="00970ECE" w:rsidRDefault="00970ECE" w:rsidP="00970ECE">
      <w:pPr>
        <w:pStyle w:val="Listeavsnitt"/>
        <w:numPr>
          <w:ilvl w:val="0"/>
          <w:numId w:val="15"/>
        </w:numPr>
        <w:spacing w:after="0"/>
        <w:rPr>
          <w:sz w:val="24"/>
          <w:szCs w:val="24"/>
        </w:rPr>
      </w:pPr>
      <w:r>
        <w:rPr>
          <w:sz w:val="24"/>
          <w:szCs w:val="24"/>
        </w:rPr>
        <w:t>Vedlegg 3 i styresak 158 – 15, Notat ARK - klimatisering av atriet</w:t>
      </w:r>
    </w:p>
    <w:p w:rsidR="00970ECE" w:rsidRDefault="00970ECE" w:rsidP="00970ECE">
      <w:pPr>
        <w:pStyle w:val="Listeavsnitt"/>
        <w:numPr>
          <w:ilvl w:val="0"/>
          <w:numId w:val="15"/>
        </w:numPr>
        <w:spacing w:after="0"/>
        <w:rPr>
          <w:sz w:val="24"/>
          <w:szCs w:val="24"/>
        </w:rPr>
      </w:pPr>
      <w:r>
        <w:rPr>
          <w:sz w:val="24"/>
          <w:szCs w:val="24"/>
        </w:rPr>
        <w:t>Vedlegg 4 i styresak 158 – 15, Skisseprosjektrapport</w:t>
      </w:r>
    </w:p>
    <w:p w:rsidR="00970ECE" w:rsidRDefault="00970ECE" w:rsidP="00970ECE">
      <w:pPr>
        <w:pStyle w:val="Listeavsnitt"/>
        <w:numPr>
          <w:ilvl w:val="0"/>
          <w:numId w:val="15"/>
        </w:numPr>
        <w:spacing w:after="0"/>
        <w:rPr>
          <w:sz w:val="24"/>
          <w:szCs w:val="24"/>
        </w:rPr>
      </w:pPr>
      <w:r>
        <w:rPr>
          <w:sz w:val="24"/>
          <w:szCs w:val="24"/>
        </w:rPr>
        <w:t xml:space="preserve">Vedlegg 5 i styresak 158 – 15, Anskaffelse – </w:t>
      </w:r>
      <w:r w:rsidRPr="003755C2">
        <w:rPr>
          <w:sz w:val="24"/>
          <w:szCs w:val="24"/>
        </w:rPr>
        <w:t>Markedsanalyse</w:t>
      </w:r>
      <w:r>
        <w:rPr>
          <w:sz w:val="24"/>
          <w:szCs w:val="24"/>
        </w:rPr>
        <w:t xml:space="preserve"> Nytt Rådhus</w:t>
      </w:r>
    </w:p>
    <w:p w:rsidR="00970ECE" w:rsidRDefault="00970ECE" w:rsidP="00970ECE">
      <w:pPr>
        <w:pStyle w:val="Listeavsnitt"/>
        <w:numPr>
          <w:ilvl w:val="0"/>
          <w:numId w:val="15"/>
        </w:numPr>
        <w:spacing w:after="0"/>
        <w:rPr>
          <w:sz w:val="24"/>
          <w:szCs w:val="24"/>
        </w:rPr>
      </w:pPr>
      <w:r>
        <w:rPr>
          <w:sz w:val="24"/>
          <w:szCs w:val="24"/>
        </w:rPr>
        <w:t>Vedlegg 6 i styresak 158 – 15, Difis Entrepriseveileder – Resultat</w:t>
      </w:r>
    </w:p>
    <w:p w:rsidR="00970ECE" w:rsidRPr="003755C2" w:rsidRDefault="00970ECE" w:rsidP="00970ECE">
      <w:pPr>
        <w:pStyle w:val="Listeavsnitt"/>
        <w:numPr>
          <w:ilvl w:val="0"/>
          <w:numId w:val="15"/>
        </w:numPr>
        <w:spacing w:after="0"/>
        <w:rPr>
          <w:sz w:val="24"/>
          <w:szCs w:val="24"/>
        </w:rPr>
      </w:pPr>
      <w:r>
        <w:rPr>
          <w:sz w:val="24"/>
          <w:szCs w:val="24"/>
        </w:rPr>
        <w:t xml:space="preserve">Vedlegg 7 i styresak 158 – 15, </w:t>
      </w:r>
      <w:r w:rsidRPr="0017441C">
        <w:rPr>
          <w:sz w:val="24"/>
          <w:szCs w:val="24"/>
        </w:rPr>
        <w:t>Longva</w:t>
      </w:r>
      <w:r>
        <w:rPr>
          <w:sz w:val="24"/>
          <w:szCs w:val="24"/>
        </w:rPr>
        <w:t xml:space="preserve"> </w:t>
      </w:r>
      <w:r w:rsidRPr="0017441C">
        <w:rPr>
          <w:sz w:val="24"/>
          <w:szCs w:val="24"/>
        </w:rPr>
        <w:t>gjennomføring</w:t>
      </w:r>
      <w:r>
        <w:rPr>
          <w:sz w:val="24"/>
          <w:szCs w:val="24"/>
        </w:rPr>
        <w:t xml:space="preserve"> </w:t>
      </w:r>
      <w:r w:rsidRPr="0017441C">
        <w:rPr>
          <w:sz w:val="24"/>
          <w:szCs w:val="24"/>
        </w:rPr>
        <w:t>etter</w:t>
      </w:r>
      <w:r>
        <w:rPr>
          <w:sz w:val="24"/>
          <w:szCs w:val="24"/>
        </w:rPr>
        <w:t xml:space="preserve"> </w:t>
      </w:r>
      <w:r w:rsidRPr="0017441C">
        <w:rPr>
          <w:sz w:val="24"/>
          <w:szCs w:val="24"/>
        </w:rPr>
        <w:t>ark</w:t>
      </w:r>
      <w:r>
        <w:rPr>
          <w:sz w:val="24"/>
          <w:szCs w:val="24"/>
        </w:rPr>
        <w:t xml:space="preserve"> </w:t>
      </w:r>
      <w:r w:rsidRPr="0017441C">
        <w:rPr>
          <w:sz w:val="24"/>
          <w:szCs w:val="24"/>
        </w:rPr>
        <w:t>konkurranse</w:t>
      </w:r>
      <w:r>
        <w:rPr>
          <w:sz w:val="24"/>
          <w:szCs w:val="24"/>
        </w:rPr>
        <w:t>.</w:t>
      </w:r>
    </w:p>
    <w:p w:rsidR="00970ECE" w:rsidRDefault="00970ECE" w:rsidP="00970ECE">
      <w:pPr>
        <w:pStyle w:val="Listeavsnitt"/>
        <w:spacing w:after="0"/>
        <w:rPr>
          <w:sz w:val="24"/>
          <w:szCs w:val="24"/>
        </w:rPr>
      </w:pPr>
    </w:p>
    <w:sectPr w:rsidR="00970ECE"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91" w:rsidRDefault="00DA5991" w:rsidP="00B30221">
      <w:pPr>
        <w:spacing w:after="0" w:line="240" w:lineRule="auto"/>
      </w:pPr>
      <w:r>
        <w:separator/>
      </w:r>
    </w:p>
  </w:endnote>
  <w:endnote w:type="continuationSeparator" w:id="0">
    <w:p w:rsidR="00DA5991" w:rsidRDefault="00DA5991"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91" w:rsidRDefault="00DA5991" w:rsidP="00B30221">
      <w:pPr>
        <w:spacing w:after="0" w:line="240" w:lineRule="auto"/>
      </w:pPr>
      <w:r>
        <w:separator/>
      </w:r>
    </w:p>
  </w:footnote>
  <w:footnote w:type="continuationSeparator" w:id="0">
    <w:p w:rsidR="00DA5991" w:rsidRDefault="00DA5991"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FBB"/>
    <w:multiLevelType w:val="hybridMultilevel"/>
    <w:tmpl w:val="90E6310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77E75"/>
    <w:multiLevelType w:val="hybridMultilevel"/>
    <w:tmpl w:val="55786E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8C5C88"/>
    <w:multiLevelType w:val="hybridMultilevel"/>
    <w:tmpl w:val="4538E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235C1"/>
    <w:multiLevelType w:val="hybridMultilevel"/>
    <w:tmpl w:val="5E72D4A8"/>
    <w:lvl w:ilvl="0" w:tplc="DF684400">
      <w:start w:val="1"/>
      <w:numFmt w:val="decimal"/>
      <w:lvlText w:val="%1."/>
      <w:lvlJc w:val="left"/>
      <w:pPr>
        <w:ind w:left="720" w:hanging="360"/>
      </w:pPr>
      <w:rPr>
        <w:b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A66BBE"/>
    <w:multiLevelType w:val="hybridMultilevel"/>
    <w:tmpl w:val="6A98A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1173A2"/>
    <w:multiLevelType w:val="hybridMultilevel"/>
    <w:tmpl w:val="59962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527FA7"/>
    <w:multiLevelType w:val="hybridMultilevel"/>
    <w:tmpl w:val="6B425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783CFD"/>
    <w:multiLevelType w:val="hybridMultilevel"/>
    <w:tmpl w:val="EDF09ADC"/>
    <w:lvl w:ilvl="0" w:tplc="04140001">
      <w:start w:val="1"/>
      <w:numFmt w:val="bullet"/>
      <w:lvlText w:val=""/>
      <w:lvlJc w:val="left"/>
      <w:pPr>
        <w:ind w:left="720" w:hanging="360"/>
      </w:pPr>
      <w:rPr>
        <w:rFonts w:ascii="Symbol" w:hAnsi="Symbol" w:hint="default"/>
      </w:rPr>
    </w:lvl>
    <w:lvl w:ilvl="1" w:tplc="8B62985C">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AD21F7"/>
    <w:multiLevelType w:val="hybridMultilevel"/>
    <w:tmpl w:val="6096E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A60E66"/>
    <w:multiLevelType w:val="hybridMultilevel"/>
    <w:tmpl w:val="183AF2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4311698"/>
    <w:multiLevelType w:val="hybridMultilevel"/>
    <w:tmpl w:val="E0ACAF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5D056E1"/>
    <w:multiLevelType w:val="hybridMultilevel"/>
    <w:tmpl w:val="95E29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2B760DD"/>
    <w:multiLevelType w:val="hybridMultilevel"/>
    <w:tmpl w:val="711A63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AAE5419"/>
    <w:multiLevelType w:val="hybridMultilevel"/>
    <w:tmpl w:val="3B581F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C8F7736"/>
    <w:multiLevelType w:val="hybridMultilevel"/>
    <w:tmpl w:val="5EBE1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734BFF"/>
    <w:multiLevelType w:val="hybridMultilevel"/>
    <w:tmpl w:val="64966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B97405"/>
    <w:multiLevelType w:val="hybridMultilevel"/>
    <w:tmpl w:val="6F1856B6"/>
    <w:lvl w:ilvl="0" w:tplc="92AA27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C59249E"/>
    <w:multiLevelType w:val="hybridMultilevel"/>
    <w:tmpl w:val="05445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F496A58"/>
    <w:multiLevelType w:val="hybridMultilevel"/>
    <w:tmpl w:val="CE7E6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4D0FDE"/>
    <w:multiLevelType w:val="hybridMultilevel"/>
    <w:tmpl w:val="ED686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
  </w:num>
  <w:num w:numId="6">
    <w:abstractNumId w:val="14"/>
  </w:num>
  <w:num w:numId="7">
    <w:abstractNumId w:val="6"/>
  </w:num>
  <w:num w:numId="8">
    <w:abstractNumId w:val="16"/>
  </w:num>
  <w:num w:numId="9">
    <w:abstractNumId w:val="20"/>
  </w:num>
  <w:num w:numId="10">
    <w:abstractNumId w:val="17"/>
  </w:num>
  <w:num w:numId="11">
    <w:abstractNumId w:val="2"/>
  </w:num>
  <w:num w:numId="12">
    <w:abstractNumId w:val="18"/>
  </w:num>
  <w:num w:numId="13">
    <w:abstractNumId w:val="22"/>
  </w:num>
  <w:num w:numId="14">
    <w:abstractNumId w:val="13"/>
  </w:num>
  <w:num w:numId="15">
    <w:abstractNumId w:val="19"/>
  </w:num>
  <w:num w:numId="16">
    <w:abstractNumId w:val="10"/>
  </w:num>
  <w:num w:numId="17">
    <w:abstractNumId w:val="21"/>
  </w:num>
  <w:num w:numId="18">
    <w:abstractNumId w:val="0"/>
  </w:num>
  <w:num w:numId="19">
    <w:abstractNumId w:val="4"/>
  </w:num>
  <w:num w:numId="20">
    <w:abstractNumId w:val="15"/>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0620"/>
    <w:rsid w:val="000009DA"/>
    <w:rsid w:val="0001067B"/>
    <w:rsid w:val="00015234"/>
    <w:rsid w:val="000334AA"/>
    <w:rsid w:val="00034E37"/>
    <w:rsid w:val="000427A6"/>
    <w:rsid w:val="00044E0E"/>
    <w:rsid w:val="00046B8A"/>
    <w:rsid w:val="000508AB"/>
    <w:rsid w:val="0005135B"/>
    <w:rsid w:val="00051EF3"/>
    <w:rsid w:val="00064A46"/>
    <w:rsid w:val="00065AD4"/>
    <w:rsid w:val="00067301"/>
    <w:rsid w:val="00073D77"/>
    <w:rsid w:val="00075EBA"/>
    <w:rsid w:val="00082315"/>
    <w:rsid w:val="000835D0"/>
    <w:rsid w:val="00091A2B"/>
    <w:rsid w:val="00094E94"/>
    <w:rsid w:val="000953F1"/>
    <w:rsid w:val="000958AA"/>
    <w:rsid w:val="00097712"/>
    <w:rsid w:val="000B18BF"/>
    <w:rsid w:val="000B2FD2"/>
    <w:rsid w:val="000B30FA"/>
    <w:rsid w:val="000B3549"/>
    <w:rsid w:val="000B4DEE"/>
    <w:rsid w:val="000E19B0"/>
    <w:rsid w:val="000E40BD"/>
    <w:rsid w:val="000E5054"/>
    <w:rsid w:val="000E7A2A"/>
    <w:rsid w:val="000F46D9"/>
    <w:rsid w:val="000F7196"/>
    <w:rsid w:val="000F74B7"/>
    <w:rsid w:val="000F7F02"/>
    <w:rsid w:val="000F7F4C"/>
    <w:rsid w:val="001037B3"/>
    <w:rsid w:val="00104D2E"/>
    <w:rsid w:val="00121466"/>
    <w:rsid w:val="0012684E"/>
    <w:rsid w:val="001269B0"/>
    <w:rsid w:val="00126D99"/>
    <w:rsid w:val="00135883"/>
    <w:rsid w:val="0013742C"/>
    <w:rsid w:val="00140F42"/>
    <w:rsid w:val="00146DF2"/>
    <w:rsid w:val="00154559"/>
    <w:rsid w:val="00156569"/>
    <w:rsid w:val="00164F4D"/>
    <w:rsid w:val="00167347"/>
    <w:rsid w:val="00170B40"/>
    <w:rsid w:val="00171891"/>
    <w:rsid w:val="00184D80"/>
    <w:rsid w:val="00186F28"/>
    <w:rsid w:val="001870CE"/>
    <w:rsid w:val="00190A2F"/>
    <w:rsid w:val="00196F0B"/>
    <w:rsid w:val="001A23C9"/>
    <w:rsid w:val="001A6993"/>
    <w:rsid w:val="001B6F4C"/>
    <w:rsid w:val="001C0E55"/>
    <w:rsid w:val="001D023F"/>
    <w:rsid w:val="001D3E67"/>
    <w:rsid w:val="001D6FE7"/>
    <w:rsid w:val="001E2546"/>
    <w:rsid w:val="001E3DF0"/>
    <w:rsid w:val="001E53EF"/>
    <w:rsid w:val="001F1902"/>
    <w:rsid w:val="001F39E8"/>
    <w:rsid w:val="001F64C7"/>
    <w:rsid w:val="00200197"/>
    <w:rsid w:val="00206A8B"/>
    <w:rsid w:val="00224064"/>
    <w:rsid w:val="00224204"/>
    <w:rsid w:val="0023392A"/>
    <w:rsid w:val="00233957"/>
    <w:rsid w:val="00263933"/>
    <w:rsid w:val="002645C6"/>
    <w:rsid w:val="00265A6A"/>
    <w:rsid w:val="002668CA"/>
    <w:rsid w:val="00270BDB"/>
    <w:rsid w:val="00270D60"/>
    <w:rsid w:val="002866A5"/>
    <w:rsid w:val="00287260"/>
    <w:rsid w:val="00291DDE"/>
    <w:rsid w:val="0029510D"/>
    <w:rsid w:val="0029553C"/>
    <w:rsid w:val="002975E3"/>
    <w:rsid w:val="002A0ADF"/>
    <w:rsid w:val="002A1D3F"/>
    <w:rsid w:val="002A6C00"/>
    <w:rsid w:val="002B277D"/>
    <w:rsid w:val="002C2213"/>
    <w:rsid w:val="002C34A1"/>
    <w:rsid w:val="002C5E28"/>
    <w:rsid w:val="002D00D6"/>
    <w:rsid w:val="002E68E6"/>
    <w:rsid w:val="002F128C"/>
    <w:rsid w:val="002F39C8"/>
    <w:rsid w:val="002F4ADD"/>
    <w:rsid w:val="002F5D03"/>
    <w:rsid w:val="00305934"/>
    <w:rsid w:val="00306871"/>
    <w:rsid w:val="0032175E"/>
    <w:rsid w:val="00321951"/>
    <w:rsid w:val="0032407D"/>
    <w:rsid w:val="0032430D"/>
    <w:rsid w:val="00325A07"/>
    <w:rsid w:val="00325BE1"/>
    <w:rsid w:val="00336323"/>
    <w:rsid w:val="0034064A"/>
    <w:rsid w:val="00346240"/>
    <w:rsid w:val="00351D4F"/>
    <w:rsid w:val="00354354"/>
    <w:rsid w:val="00354AB7"/>
    <w:rsid w:val="003559A6"/>
    <w:rsid w:val="003626A7"/>
    <w:rsid w:val="0036402F"/>
    <w:rsid w:val="00365C8A"/>
    <w:rsid w:val="00367816"/>
    <w:rsid w:val="003755C2"/>
    <w:rsid w:val="00384FD2"/>
    <w:rsid w:val="003874B7"/>
    <w:rsid w:val="0039673E"/>
    <w:rsid w:val="003A02C4"/>
    <w:rsid w:val="003A2050"/>
    <w:rsid w:val="003A6408"/>
    <w:rsid w:val="003A752A"/>
    <w:rsid w:val="003A7DA2"/>
    <w:rsid w:val="003B17C9"/>
    <w:rsid w:val="003B2054"/>
    <w:rsid w:val="003B3714"/>
    <w:rsid w:val="003B5811"/>
    <w:rsid w:val="003C495E"/>
    <w:rsid w:val="003C6293"/>
    <w:rsid w:val="003D26B2"/>
    <w:rsid w:val="003D6101"/>
    <w:rsid w:val="003E1121"/>
    <w:rsid w:val="003E5ACA"/>
    <w:rsid w:val="003F029F"/>
    <w:rsid w:val="003F0B63"/>
    <w:rsid w:val="00401E58"/>
    <w:rsid w:val="00403541"/>
    <w:rsid w:val="004100C3"/>
    <w:rsid w:val="00416BC4"/>
    <w:rsid w:val="004175DA"/>
    <w:rsid w:val="00420CB9"/>
    <w:rsid w:val="00420FB9"/>
    <w:rsid w:val="00424EB0"/>
    <w:rsid w:val="00433B13"/>
    <w:rsid w:val="00435C1B"/>
    <w:rsid w:val="004366E0"/>
    <w:rsid w:val="004372FB"/>
    <w:rsid w:val="00437313"/>
    <w:rsid w:val="00443B6B"/>
    <w:rsid w:val="0045221F"/>
    <w:rsid w:val="004634A8"/>
    <w:rsid w:val="004679EF"/>
    <w:rsid w:val="004723F2"/>
    <w:rsid w:val="00481537"/>
    <w:rsid w:val="004848E9"/>
    <w:rsid w:val="00485EB5"/>
    <w:rsid w:val="00487D79"/>
    <w:rsid w:val="00492C52"/>
    <w:rsid w:val="004977CC"/>
    <w:rsid w:val="004A1307"/>
    <w:rsid w:val="004A49A8"/>
    <w:rsid w:val="004A5A2A"/>
    <w:rsid w:val="004B28BA"/>
    <w:rsid w:val="004B60FD"/>
    <w:rsid w:val="004B675B"/>
    <w:rsid w:val="004C093A"/>
    <w:rsid w:val="004C6DF3"/>
    <w:rsid w:val="004D33E0"/>
    <w:rsid w:val="004D34D5"/>
    <w:rsid w:val="004E0598"/>
    <w:rsid w:val="004E0F9A"/>
    <w:rsid w:val="004E558A"/>
    <w:rsid w:val="004F072C"/>
    <w:rsid w:val="004F397F"/>
    <w:rsid w:val="00501198"/>
    <w:rsid w:val="00505F6E"/>
    <w:rsid w:val="005145D0"/>
    <w:rsid w:val="00520596"/>
    <w:rsid w:val="0052785E"/>
    <w:rsid w:val="00527F4E"/>
    <w:rsid w:val="00530C4A"/>
    <w:rsid w:val="0053330E"/>
    <w:rsid w:val="00540227"/>
    <w:rsid w:val="00546E9D"/>
    <w:rsid w:val="00547F55"/>
    <w:rsid w:val="00556544"/>
    <w:rsid w:val="00571F81"/>
    <w:rsid w:val="005746CE"/>
    <w:rsid w:val="00575497"/>
    <w:rsid w:val="005856F3"/>
    <w:rsid w:val="00585B25"/>
    <w:rsid w:val="0059130B"/>
    <w:rsid w:val="00594DB9"/>
    <w:rsid w:val="005A1E7E"/>
    <w:rsid w:val="005A4DBB"/>
    <w:rsid w:val="005A6F6E"/>
    <w:rsid w:val="005B1991"/>
    <w:rsid w:val="005B7B13"/>
    <w:rsid w:val="005C1140"/>
    <w:rsid w:val="005C300B"/>
    <w:rsid w:val="005D08E4"/>
    <w:rsid w:val="005E52D9"/>
    <w:rsid w:val="005E682A"/>
    <w:rsid w:val="005F2293"/>
    <w:rsid w:val="005F3F08"/>
    <w:rsid w:val="00601347"/>
    <w:rsid w:val="00603B5B"/>
    <w:rsid w:val="00604D09"/>
    <w:rsid w:val="00611958"/>
    <w:rsid w:val="006122A5"/>
    <w:rsid w:val="006123FB"/>
    <w:rsid w:val="00615CAD"/>
    <w:rsid w:val="00616131"/>
    <w:rsid w:val="00624939"/>
    <w:rsid w:val="00627625"/>
    <w:rsid w:val="00632D8B"/>
    <w:rsid w:val="00640C1E"/>
    <w:rsid w:val="00640F4E"/>
    <w:rsid w:val="006639E1"/>
    <w:rsid w:val="00665477"/>
    <w:rsid w:val="006654B8"/>
    <w:rsid w:val="006707AA"/>
    <w:rsid w:val="0068205E"/>
    <w:rsid w:val="0068300B"/>
    <w:rsid w:val="00683494"/>
    <w:rsid w:val="006835F0"/>
    <w:rsid w:val="006839C3"/>
    <w:rsid w:val="006842E6"/>
    <w:rsid w:val="00684ABE"/>
    <w:rsid w:val="006908BF"/>
    <w:rsid w:val="00696BA7"/>
    <w:rsid w:val="006B0F96"/>
    <w:rsid w:val="006C7BAA"/>
    <w:rsid w:val="006C7F42"/>
    <w:rsid w:val="006E212D"/>
    <w:rsid w:val="006F078A"/>
    <w:rsid w:val="006F50A0"/>
    <w:rsid w:val="006F5D91"/>
    <w:rsid w:val="006F671A"/>
    <w:rsid w:val="00705E9A"/>
    <w:rsid w:val="00716E09"/>
    <w:rsid w:val="00720FD8"/>
    <w:rsid w:val="0072179D"/>
    <w:rsid w:val="0072445E"/>
    <w:rsid w:val="00727BEA"/>
    <w:rsid w:val="00734D38"/>
    <w:rsid w:val="007370E2"/>
    <w:rsid w:val="00740CC7"/>
    <w:rsid w:val="00741A22"/>
    <w:rsid w:val="00753C17"/>
    <w:rsid w:val="0075568D"/>
    <w:rsid w:val="0075769B"/>
    <w:rsid w:val="00763D8A"/>
    <w:rsid w:val="00763E39"/>
    <w:rsid w:val="007653EC"/>
    <w:rsid w:val="00770488"/>
    <w:rsid w:val="00770DD1"/>
    <w:rsid w:val="00771588"/>
    <w:rsid w:val="00771E1D"/>
    <w:rsid w:val="00781B98"/>
    <w:rsid w:val="00790D21"/>
    <w:rsid w:val="00793252"/>
    <w:rsid w:val="00796C19"/>
    <w:rsid w:val="00797AE5"/>
    <w:rsid w:val="007B459C"/>
    <w:rsid w:val="007C053F"/>
    <w:rsid w:val="007C09DD"/>
    <w:rsid w:val="007D427A"/>
    <w:rsid w:val="007D5B61"/>
    <w:rsid w:val="007D6173"/>
    <w:rsid w:val="007D6A85"/>
    <w:rsid w:val="007E2845"/>
    <w:rsid w:val="007E6C5C"/>
    <w:rsid w:val="007F2123"/>
    <w:rsid w:val="008005AF"/>
    <w:rsid w:val="00805A71"/>
    <w:rsid w:val="00805EA6"/>
    <w:rsid w:val="00815F1A"/>
    <w:rsid w:val="00820611"/>
    <w:rsid w:val="008209BE"/>
    <w:rsid w:val="00821907"/>
    <w:rsid w:val="0083130E"/>
    <w:rsid w:val="00832FF8"/>
    <w:rsid w:val="00840D34"/>
    <w:rsid w:val="00842489"/>
    <w:rsid w:val="008432B0"/>
    <w:rsid w:val="00845681"/>
    <w:rsid w:val="00847AE2"/>
    <w:rsid w:val="00847DA3"/>
    <w:rsid w:val="00853888"/>
    <w:rsid w:val="00857C5B"/>
    <w:rsid w:val="00863426"/>
    <w:rsid w:val="008668CB"/>
    <w:rsid w:val="008708AF"/>
    <w:rsid w:val="00873518"/>
    <w:rsid w:val="008838C1"/>
    <w:rsid w:val="00887FF6"/>
    <w:rsid w:val="00891536"/>
    <w:rsid w:val="00893A0E"/>
    <w:rsid w:val="008A4E5C"/>
    <w:rsid w:val="008B0844"/>
    <w:rsid w:val="008B538A"/>
    <w:rsid w:val="008B6415"/>
    <w:rsid w:val="008C1A3D"/>
    <w:rsid w:val="008C60CC"/>
    <w:rsid w:val="008D33DB"/>
    <w:rsid w:val="008D4C46"/>
    <w:rsid w:val="008D5A1B"/>
    <w:rsid w:val="008F2508"/>
    <w:rsid w:val="008F7777"/>
    <w:rsid w:val="00903D8A"/>
    <w:rsid w:val="009043C9"/>
    <w:rsid w:val="00905B23"/>
    <w:rsid w:val="0091686D"/>
    <w:rsid w:val="00924E79"/>
    <w:rsid w:val="00932C2D"/>
    <w:rsid w:val="00933A0F"/>
    <w:rsid w:val="00941544"/>
    <w:rsid w:val="00942173"/>
    <w:rsid w:val="009435FB"/>
    <w:rsid w:val="00943A83"/>
    <w:rsid w:val="0095677F"/>
    <w:rsid w:val="0096040A"/>
    <w:rsid w:val="009679B0"/>
    <w:rsid w:val="00970A24"/>
    <w:rsid w:val="00970D0A"/>
    <w:rsid w:val="00970ECE"/>
    <w:rsid w:val="0097715D"/>
    <w:rsid w:val="009817F6"/>
    <w:rsid w:val="009873D1"/>
    <w:rsid w:val="00995292"/>
    <w:rsid w:val="009A54F9"/>
    <w:rsid w:val="009A6569"/>
    <w:rsid w:val="009B37EA"/>
    <w:rsid w:val="009B4FEC"/>
    <w:rsid w:val="009B77C0"/>
    <w:rsid w:val="009C3CFD"/>
    <w:rsid w:val="009C5624"/>
    <w:rsid w:val="009C72FA"/>
    <w:rsid w:val="009E28E6"/>
    <w:rsid w:val="009E646C"/>
    <w:rsid w:val="009E7853"/>
    <w:rsid w:val="009F58D9"/>
    <w:rsid w:val="00A00442"/>
    <w:rsid w:val="00A00938"/>
    <w:rsid w:val="00A021B5"/>
    <w:rsid w:val="00A229CB"/>
    <w:rsid w:val="00A2377F"/>
    <w:rsid w:val="00A2630D"/>
    <w:rsid w:val="00A33A75"/>
    <w:rsid w:val="00A33B48"/>
    <w:rsid w:val="00A3497A"/>
    <w:rsid w:val="00A558BC"/>
    <w:rsid w:val="00A611F5"/>
    <w:rsid w:val="00A61FB7"/>
    <w:rsid w:val="00A64471"/>
    <w:rsid w:val="00A713E7"/>
    <w:rsid w:val="00A83FD4"/>
    <w:rsid w:val="00A86418"/>
    <w:rsid w:val="00A905A3"/>
    <w:rsid w:val="00A93CFF"/>
    <w:rsid w:val="00A951C6"/>
    <w:rsid w:val="00AA45E9"/>
    <w:rsid w:val="00AA60A7"/>
    <w:rsid w:val="00AA7F48"/>
    <w:rsid w:val="00AB695B"/>
    <w:rsid w:val="00AC4AAD"/>
    <w:rsid w:val="00AC5A92"/>
    <w:rsid w:val="00AD3D7A"/>
    <w:rsid w:val="00AD6E25"/>
    <w:rsid w:val="00AD7862"/>
    <w:rsid w:val="00AE0097"/>
    <w:rsid w:val="00AE5A8B"/>
    <w:rsid w:val="00AE774F"/>
    <w:rsid w:val="00AF08EB"/>
    <w:rsid w:val="00AF3A29"/>
    <w:rsid w:val="00AF3D10"/>
    <w:rsid w:val="00B106CF"/>
    <w:rsid w:val="00B107B7"/>
    <w:rsid w:val="00B22845"/>
    <w:rsid w:val="00B2444A"/>
    <w:rsid w:val="00B30221"/>
    <w:rsid w:val="00B30CC1"/>
    <w:rsid w:val="00B31EC4"/>
    <w:rsid w:val="00B33393"/>
    <w:rsid w:val="00B33884"/>
    <w:rsid w:val="00B47632"/>
    <w:rsid w:val="00B52A16"/>
    <w:rsid w:val="00B52D1C"/>
    <w:rsid w:val="00B54DB9"/>
    <w:rsid w:val="00B666E0"/>
    <w:rsid w:val="00B66A1B"/>
    <w:rsid w:val="00B67CCC"/>
    <w:rsid w:val="00B67FF5"/>
    <w:rsid w:val="00B7183A"/>
    <w:rsid w:val="00B71948"/>
    <w:rsid w:val="00B74307"/>
    <w:rsid w:val="00B74435"/>
    <w:rsid w:val="00B7523A"/>
    <w:rsid w:val="00B7732D"/>
    <w:rsid w:val="00B776BA"/>
    <w:rsid w:val="00B81B54"/>
    <w:rsid w:val="00B83AB0"/>
    <w:rsid w:val="00B90634"/>
    <w:rsid w:val="00B9443F"/>
    <w:rsid w:val="00B95066"/>
    <w:rsid w:val="00BA207E"/>
    <w:rsid w:val="00BA2AE8"/>
    <w:rsid w:val="00BA43A9"/>
    <w:rsid w:val="00BA73D7"/>
    <w:rsid w:val="00BB1A4C"/>
    <w:rsid w:val="00BB4E4C"/>
    <w:rsid w:val="00BB7B87"/>
    <w:rsid w:val="00BC2D26"/>
    <w:rsid w:val="00BC664E"/>
    <w:rsid w:val="00BC69D4"/>
    <w:rsid w:val="00BD1C07"/>
    <w:rsid w:val="00BD7491"/>
    <w:rsid w:val="00BE394A"/>
    <w:rsid w:val="00BE4DF4"/>
    <w:rsid w:val="00BE5C2A"/>
    <w:rsid w:val="00BF169A"/>
    <w:rsid w:val="00BF2E5C"/>
    <w:rsid w:val="00C0211C"/>
    <w:rsid w:val="00C12A7B"/>
    <w:rsid w:val="00C27D11"/>
    <w:rsid w:val="00C35525"/>
    <w:rsid w:val="00C368A9"/>
    <w:rsid w:val="00C37ECF"/>
    <w:rsid w:val="00C411F1"/>
    <w:rsid w:val="00C45711"/>
    <w:rsid w:val="00C470A3"/>
    <w:rsid w:val="00C47C1D"/>
    <w:rsid w:val="00C65919"/>
    <w:rsid w:val="00C731E3"/>
    <w:rsid w:val="00C80E7D"/>
    <w:rsid w:val="00C9422A"/>
    <w:rsid w:val="00C94425"/>
    <w:rsid w:val="00CA4973"/>
    <w:rsid w:val="00CB2B40"/>
    <w:rsid w:val="00CB6084"/>
    <w:rsid w:val="00CB695B"/>
    <w:rsid w:val="00CC5B49"/>
    <w:rsid w:val="00CD669B"/>
    <w:rsid w:val="00CE30AC"/>
    <w:rsid w:val="00CF224B"/>
    <w:rsid w:val="00CF4C50"/>
    <w:rsid w:val="00D0394D"/>
    <w:rsid w:val="00D04837"/>
    <w:rsid w:val="00D056E1"/>
    <w:rsid w:val="00D0678E"/>
    <w:rsid w:val="00D07A20"/>
    <w:rsid w:val="00D1298D"/>
    <w:rsid w:val="00D1776F"/>
    <w:rsid w:val="00D27B05"/>
    <w:rsid w:val="00D37A3C"/>
    <w:rsid w:val="00D411C1"/>
    <w:rsid w:val="00D436D5"/>
    <w:rsid w:val="00D45B56"/>
    <w:rsid w:val="00D53C3A"/>
    <w:rsid w:val="00D60A82"/>
    <w:rsid w:val="00D61BF1"/>
    <w:rsid w:val="00D769BA"/>
    <w:rsid w:val="00D82AB0"/>
    <w:rsid w:val="00D832B1"/>
    <w:rsid w:val="00DA4A03"/>
    <w:rsid w:val="00DA5991"/>
    <w:rsid w:val="00DC28AC"/>
    <w:rsid w:val="00DE0FFB"/>
    <w:rsid w:val="00DE58E6"/>
    <w:rsid w:val="00DF1B65"/>
    <w:rsid w:val="00DF3742"/>
    <w:rsid w:val="00DF47B1"/>
    <w:rsid w:val="00E158E3"/>
    <w:rsid w:val="00E164BC"/>
    <w:rsid w:val="00E16E6E"/>
    <w:rsid w:val="00E31E93"/>
    <w:rsid w:val="00E32704"/>
    <w:rsid w:val="00E336D5"/>
    <w:rsid w:val="00E35F1D"/>
    <w:rsid w:val="00E47C32"/>
    <w:rsid w:val="00E51D94"/>
    <w:rsid w:val="00E54C05"/>
    <w:rsid w:val="00E62959"/>
    <w:rsid w:val="00E64D9C"/>
    <w:rsid w:val="00E70A54"/>
    <w:rsid w:val="00E908C8"/>
    <w:rsid w:val="00E92A15"/>
    <w:rsid w:val="00E97647"/>
    <w:rsid w:val="00EA4850"/>
    <w:rsid w:val="00EA64C2"/>
    <w:rsid w:val="00EB60AE"/>
    <w:rsid w:val="00EC2660"/>
    <w:rsid w:val="00F016B3"/>
    <w:rsid w:val="00F04CC7"/>
    <w:rsid w:val="00F07AFB"/>
    <w:rsid w:val="00F12817"/>
    <w:rsid w:val="00F21316"/>
    <w:rsid w:val="00F228E5"/>
    <w:rsid w:val="00F25452"/>
    <w:rsid w:val="00F36768"/>
    <w:rsid w:val="00F373F1"/>
    <w:rsid w:val="00F37FD6"/>
    <w:rsid w:val="00F4008E"/>
    <w:rsid w:val="00F4058D"/>
    <w:rsid w:val="00F40A2B"/>
    <w:rsid w:val="00F43F9A"/>
    <w:rsid w:val="00F511B1"/>
    <w:rsid w:val="00F516D1"/>
    <w:rsid w:val="00F52164"/>
    <w:rsid w:val="00F571F2"/>
    <w:rsid w:val="00F6117D"/>
    <w:rsid w:val="00F65156"/>
    <w:rsid w:val="00F65949"/>
    <w:rsid w:val="00F65E15"/>
    <w:rsid w:val="00F663A5"/>
    <w:rsid w:val="00F66AAE"/>
    <w:rsid w:val="00F82785"/>
    <w:rsid w:val="00F834DF"/>
    <w:rsid w:val="00F9035D"/>
    <w:rsid w:val="00F9373C"/>
    <w:rsid w:val="00F96D24"/>
    <w:rsid w:val="00F97614"/>
    <w:rsid w:val="00FA38A2"/>
    <w:rsid w:val="00FB1BCE"/>
    <w:rsid w:val="00FB35FD"/>
    <w:rsid w:val="00FB3965"/>
    <w:rsid w:val="00FB3A62"/>
    <w:rsid w:val="00FB4FD8"/>
    <w:rsid w:val="00FC5585"/>
    <w:rsid w:val="00FC7BDF"/>
    <w:rsid w:val="00FD01EA"/>
    <w:rsid w:val="00FD1867"/>
    <w:rsid w:val="00FD28C8"/>
    <w:rsid w:val="00FE0E9D"/>
    <w:rsid w:val="00FE5191"/>
    <w:rsid w:val="00FE744D"/>
    <w:rsid w:val="00FF1E92"/>
    <w:rsid w:val="00FF3E3A"/>
    <w:rsid w:val="00FF51C5"/>
    <w:rsid w:val="00FF7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6BB3-8438-4EC9-B8CF-39C4904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Ingenmellomrom">
    <w:name w:val="No Spacing"/>
    <w:link w:val="IngenmellomromTegn"/>
    <w:uiPriority w:val="1"/>
    <w:qFormat/>
    <w:rsid w:val="00F21316"/>
    <w:pPr>
      <w:spacing w:after="0" w:line="240" w:lineRule="auto"/>
    </w:pPr>
    <w:rPr>
      <w:rFonts w:eastAsiaTheme="minorHAnsi"/>
      <w:lang w:eastAsia="en-US"/>
    </w:rPr>
  </w:style>
  <w:style w:type="character" w:customStyle="1" w:styleId="IngenmellomromTegn">
    <w:name w:val="Ingen mellomrom Tegn"/>
    <w:basedOn w:val="Standardskriftforavsnitt"/>
    <w:link w:val="Ingenmellomrom"/>
    <w:uiPriority w:val="1"/>
    <w:rsid w:val="00F21316"/>
    <w:rPr>
      <w:rFonts w:eastAsiaTheme="minorHAnsi"/>
      <w:lang w:eastAsia="en-US"/>
    </w:rPr>
  </w:style>
  <w:style w:type="paragraph" w:customStyle="1" w:styleId="Default">
    <w:name w:val="Default"/>
    <w:rsid w:val="00F04C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A940-1C3D-4DBF-8C1B-F0D29CB5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10014</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Ingvar Haabeth</cp:lastModifiedBy>
  <cp:revision>2</cp:revision>
  <cp:lastPrinted>2015-12-04T18:42:00Z</cp:lastPrinted>
  <dcterms:created xsi:type="dcterms:W3CDTF">2015-12-14T19:22:00Z</dcterms:created>
  <dcterms:modified xsi:type="dcterms:W3CDTF">2015-12-14T19:22:00Z</dcterms:modified>
</cp:coreProperties>
</file>